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A554A" w14:textId="5AA58D88" w:rsidR="00743D20" w:rsidRPr="00037459" w:rsidRDefault="00743D20" w:rsidP="00743D20">
      <w:pPr>
        <w:tabs>
          <w:tab w:val="center" w:pos="4536"/>
          <w:tab w:val="right" w:pos="8280"/>
          <w:tab w:val="right" w:pos="9639"/>
        </w:tabs>
        <w:spacing w:after="0"/>
        <w:rPr>
          <w:rFonts w:ascii="Arial" w:hAnsi="Arial" w:cs="Arial"/>
          <w:b/>
          <w:bCs/>
        </w:rPr>
      </w:pPr>
      <w:bookmarkStart w:id="0" w:name="_GoBack"/>
      <w:bookmarkEnd w:id="0"/>
      <w:r w:rsidRPr="00037459">
        <w:rPr>
          <w:rFonts w:ascii="Arial" w:hAnsi="Arial" w:cs="Arial"/>
          <w:b/>
          <w:bCs/>
        </w:rPr>
        <w:t>3GPP TSG RAN WG1 Meeting 9</w:t>
      </w:r>
      <w:r w:rsidR="00230E5F" w:rsidRPr="00037459">
        <w:rPr>
          <w:rFonts w:ascii="Arial" w:hAnsi="Arial" w:cs="Arial"/>
          <w:b/>
          <w:bCs/>
        </w:rPr>
        <w:t>1</w:t>
      </w:r>
      <w:r w:rsidRPr="00037459">
        <w:rPr>
          <w:rFonts w:ascii="Arial" w:hAnsi="Arial" w:cs="Arial"/>
          <w:b/>
          <w:bCs/>
        </w:rPr>
        <w:t xml:space="preserve"> </w:t>
      </w:r>
      <w:r w:rsidRPr="00037459">
        <w:rPr>
          <w:rFonts w:ascii="Arial" w:eastAsia="MS Mincho" w:hAnsi="Arial" w:cs="Arial"/>
          <w:b/>
          <w:bCs/>
          <w:lang w:eastAsia="ja-JP"/>
        </w:rPr>
        <w:tab/>
      </w:r>
      <w:r w:rsidRPr="00037459">
        <w:rPr>
          <w:rFonts w:ascii="Arial" w:eastAsia="MS Mincho" w:hAnsi="Arial" w:cs="Arial"/>
          <w:b/>
          <w:bCs/>
          <w:lang w:eastAsia="ja-JP"/>
        </w:rPr>
        <w:tab/>
        <w:t xml:space="preserve">             </w:t>
      </w:r>
      <w:r w:rsidR="00FF518A" w:rsidRPr="00037459">
        <w:rPr>
          <w:rFonts w:ascii="Arial" w:eastAsia="MS Mincho" w:hAnsi="Arial" w:cs="Arial"/>
          <w:b/>
          <w:bCs/>
          <w:lang w:eastAsia="ja-JP"/>
        </w:rPr>
        <w:t xml:space="preserve">         </w:t>
      </w:r>
      <w:r w:rsidRPr="00037459">
        <w:rPr>
          <w:rFonts w:ascii="Arial" w:eastAsia="MS Mincho" w:hAnsi="Arial" w:cs="Arial"/>
          <w:b/>
          <w:bCs/>
          <w:lang w:eastAsia="ja-JP"/>
        </w:rPr>
        <w:t xml:space="preserve"> </w:t>
      </w:r>
      <w:r w:rsidR="00FF518A" w:rsidRPr="00037459">
        <w:rPr>
          <w:rFonts w:ascii="Arial" w:eastAsia="MS Mincho" w:hAnsi="Arial" w:cs="Arial"/>
          <w:b/>
          <w:bCs/>
          <w:lang w:eastAsia="ja-JP"/>
        </w:rPr>
        <w:t xml:space="preserve">                                       </w:t>
      </w:r>
      <w:r w:rsidRPr="00037459">
        <w:rPr>
          <w:rFonts w:ascii="Arial" w:eastAsia="MS Mincho" w:hAnsi="Arial" w:cs="Arial"/>
          <w:b/>
          <w:bCs/>
          <w:lang w:eastAsia="ja-JP"/>
        </w:rPr>
        <w:t xml:space="preserve"> </w:t>
      </w:r>
      <w:r w:rsidRPr="00037459">
        <w:rPr>
          <w:rFonts w:ascii="Arial" w:hAnsi="Arial" w:cs="Arial"/>
          <w:b/>
          <w:bCs/>
        </w:rPr>
        <w:t>R1-1</w:t>
      </w:r>
      <w:r w:rsidRPr="00037459">
        <w:rPr>
          <w:rFonts w:ascii="Arial" w:eastAsia="MS Mincho" w:hAnsi="Arial" w:cs="Arial"/>
          <w:b/>
          <w:bCs/>
          <w:lang w:eastAsia="ja-JP"/>
        </w:rPr>
        <w:t>7</w:t>
      </w:r>
      <w:r w:rsidR="00706066" w:rsidRPr="00037459">
        <w:rPr>
          <w:rFonts w:ascii="Arial" w:eastAsia="MS Mincho" w:hAnsi="Arial" w:cs="Arial"/>
          <w:b/>
          <w:bCs/>
          <w:lang w:eastAsia="ja-JP"/>
        </w:rPr>
        <w:t>20736</w:t>
      </w:r>
    </w:p>
    <w:p w14:paraId="64838606" w14:textId="25590264" w:rsidR="00743D20" w:rsidRPr="00037459" w:rsidRDefault="00230E5F" w:rsidP="00743D20">
      <w:pPr>
        <w:tabs>
          <w:tab w:val="center" w:pos="4536"/>
          <w:tab w:val="right" w:pos="8280"/>
          <w:tab w:val="right" w:pos="9639"/>
        </w:tabs>
        <w:spacing w:after="0"/>
        <w:rPr>
          <w:rFonts w:ascii="Arial" w:hAnsi="Arial" w:cs="Arial"/>
          <w:b/>
          <w:bCs/>
        </w:rPr>
      </w:pPr>
      <w:r w:rsidRPr="00037459">
        <w:rPr>
          <w:rFonts w:ascii="Arial" w:eastAsia="MS Mincho" w:hAnsi="Arial" w:cs="Arial"/>
          <w:b/>
          <w:bCs/>
          <w:lang w:eastAsia="ja-JP"/>
        </w:rPr>
        <w:t>Reno, USA</w:t>
      </w:r>
      <w:r w:rsidR="00743D20" w:rsidRPr="00037459">
        <w:rPr>
          <w:rFonts w:ascii="Arial" w:eastAsia="MS Mincho" w:hAnsi="Arial" w:cs="Arial"/>
          <w:b/>
          <w:bCs/>
          <w:lang w:eastAsia="ja-JP"/>
        </w:rPr>
        <w:t xml:space="preserve">, </w:t>
      </w:r>
      <w:r w:rsidRPr="00037459">
        <w:rPr>
          <w:rFonts w:ascii="Arial" w:eastAsia="MS Mincho" w:hAnsi="Arial" w:cs="Arial"/>
          <w:b/>
          <w:bCs/>
          <w:lang w:eastAsia="ja-JP"/>
        </w:rPr>
        <w:t>November 27</w:t>
      </w:r>
      <w:r w:rsidRPr="00037459">
        <w:rPr>
          <w:rFonts w:ascii="Arial" w:eastAsia="MS Mincho" w:hAnsi="Arial" w:cs="Arial"/>
          <w:b/>
          <w:bCs/>
          <w:vertAlign w:val="superscript"/>
          <w:lang w:eastAsia="ja-JP"/>
        </w:rPr>
        <w:t>th</w:t>
      </w:r>
      <w:r w:rsidRPr="00037459">
        <w:rPr>
          <w:rFonts w:ascii="Arial" w:eastAsia="MS Mincho" w:hAnsi="Arial" w:cs="Arial"/>
          <w:b/>
          <w:bCs/>
          <w:lang w:eastAsia="ja-JP"/>
        </w:rPr>
        <w:t>-December 1</w:t>
      </w:r>
      <w:r w:rsidRPr="00037459">
        <w:rPr>
          <w:rFonts w:ascii="Arial" w:eastAsia="MS Mincho" w:hAnsi="Arial" w:cs="Arial"/>
          <w:b/>
          <w:bCs/>
          <w:vertAlign w:val="superscript"/>
          <w:lang w:eastAsia="ja-JP"/>
        </w:rPr>
        <w:t>st</w:t>
      </w:r>
      <w:r w:rsidRPr="00037459">
        <w:rPr>
          <w:rFonts w:ascii="Arial" w:eastAsia="MS Mincho" w:hAnsi="Arial" w:cs="Arial"/>
          <w:b/>
          <w:bCs/>
          <w:lang w:eastAsia="ja-JP"/>
        </w:rPr>
        <w:t>,</w:t>
      </w:r>
      <w:r w:rsidR="00743D20" w:rsidRPr="00037459">
        <w:rPr>
          <w:rFonts w:ascii="Arial" w:hAnsi="Arial" w:cs="Arial"/>
          <w:b/>
          <w:bCs/>
        </w:rPr>
        <w:t xml:space="preserve"> 201</w:t>
      </w:r>
      <w:r w:rsidR="00743D20" w:rsidRPr="00037459">
        <w:rPr>
          <w:rFonts w:ascii="Arial" w:eastAsia="MS Mincho" w:hAnsi="Arial" w:cs="Arial" w:hint="eastAsia"/>
          <w:b/>
          <w:bCs/>
          <w:lang w:eastAsia="ja-JP"/>
        </w:rPr>
        <w:t>7</w:t>
      </w:r>
    </w:p>
    <w:p w14:paraId="24B99369" w14:textId="77777777" w:rsidR="00743D20" w:rsidRPr="00037459" w:rsidRDefault="00743D20" w:rsidP="00743D20">
      <w:pPr>
        <w:pStyle w:val="Header"/>
        <w:tabs>
          <w:tab w:val="left" w:pos="1800"/>
        </w:tabs>
        <w:ind w:left="1800" w:hanging="1800"/>
      </w:pPr>
    </w:p>
    <w:p w14:paraId="7E58E6F3" w14:textId="77777777" w:rsidR="00743D20" w:rsidRPr="00037459" w:rsidRDefault="00743D20" w:rsidP="00743D20">
      <w:pPr>
        <w:pStyle w:val="Header"/>
        <w:tabs>
          <w:tab w:val="left" w:pos="1800"/>
        </w:tabs>
        <w:ind w:left="1800" w:hanging="1800"/>
      </w:pPr>
      <w:r w:rsidRPr="00037459">
        <w:t>Source:</w:t>
      </w:r>
      <w:r w:rsidRPr="00037459">
        <w:tab/>
        <w:t>Ericsson</w:t>
      </w:r>
    </w:p>
    <w:p w14:paraId="33A1073E" w14:textId="77777777" w:rsidR="00743D20" w:rsidRPr="00037459" w:rsidRDefault="00743D20" w:rsidP="00743D20">
      <w:pPr>
        <w:pStyle w:val="Header"/>
        <w:tabs>
          <w:tab w:val="left" w:pos="1800"/>
        </w:tabs>
      </w:pPr>
      <w:r w:rsidRPr="00037459">
        <w:t>Title:</w:t>
      </w:r>
      <w:bookmarkStart w:id="1" w:name="Title"/>
      <w:bookmarkEnd w:id="1"/>
      <w:r w:rsidRPr="00037459">
        <w:tab/>
        <w:t>Remaining details on DMRS design</w:t>
      </w:r>
    </w:p>
    <w:p w14:paraId="439F9EE1" w14:textId="77777777" w:rsidR="00743D20" w:rsidRPr="00F653CA" w:rsidRDefault="00743D20" w:rsidP="00743D20">
      <w:pPr>
        <w:pStyle w:val="Header"/>
        <w:tabs>
          <w:tab w:val="left" w:pos="1800"/>
          <w:tab w:val="center" w:pos="4703"/>
        </w:tabs>
      </w:pPr>
      <w:r w:rsidRPr="00037459">
        <w:t>Agenda Item:</w:t>
      </w:r>
      <w:bookmarkStart w:id="2" w:name="Source"/>
      <w:bookmarkEnd w:id="2"/>
      <w:r w:rsidRPr="00037459">
        <w:tab/>
        <w:t>7.2.3.3</w:t>
      </w:r>
    </w:p>
    <w:p w14:paraId="5D9EF0E8" w14:textId="77777777" w:rsidR="00743D20" w:rsidRPr="009D2B97" w:rsidRDefault="00743D20" w:rsidP="00743D20">
      <w:pPr>
        <w:pStyle w:val="Header"/>
        <w:tabs>
          <w:tab w:val="left" w:pos="1800"/>
        </w:tabs>
      </w:pPr>
      <w:r w:rsidRPr="00F653CA">
        <w:t>Document for:</w:t>
      </w:r>
      <w:r w:rsidRPr="00F653CA">
        <w:tab/>
      </w:r>
      <w:bookmarkStart w:id="3" w:name="DocumentFor"/>
      <w:bookmarkEnd w:id="3"/>
      <w:r w:rsidRPr="00F653CA">
        <w:t>Discussion and Decision</w:t>
      </w:r>
    </w:p>
    <w:p w14:paraId="72B2365A" w14:textId="77777777" w:rsidR="00E90E49" w:rsidRPr="00CE0424" w:rsidRDefault="007F75D5" w:rsidP="00CE0424">
      <w:pPr>
        <w:pStyle w:val="Heading1"/>
      </w:pPr>
      <w:r>
        <w:t>Introduction</w:t>
      </w:r>
    </w:p>
    <w:p w14:paraId="793974FB" w14:textId="1C6BD5C0" w:rsidR="00743D20" w:rsidRDefault="00743D20" w:rsidP="00743D20">
      <w:pPr>
        <w:pStyle w:val="BodyText"/>
      </w:pPr>
      <w:bookmarkStart w:id="4" w:name="_Ref178064866"/>
      <w:r>
        <w:t>In this contribution, we address the remaining details on the DMRS design for both UL and DL.</w:t>
      </w:r>
    </w:p>
    <w:p w14:paraId="048D3BBC" w14:textId="73E7F92A" w:rsidR="005765CB" w:rsidRDefault="005765CB" w:rsidP="005765CB">
      <w:pPr>
        <w:pStyle w:val="BodyText"/>
        <w:numPr>
          <w:ilvl w:val="0"/>
          <w:numId w:val="35"/>
        </w:numPr>
      </w:pPr>
      <w:r>
        <w:t>Default DMRS patterns</w:t>
      </w:r>
      <w:r w:rsidR="00092C4D">
        <w:t xml:space="preserve"> for PDSCH and PUSCH</w:t>
      </w:r>
    </w:p>
    <w:p w14:paraId="3939572A" w14:textId="77777777" w:rsidR="005765CB" w:rsidRDefault="005765CB" w:rsidP="005765CB">
      <w:pPr>
        <w:pStyle w:val="BodyText"/>
        <w:numPr>
          <w:ilvl w:val="0"/>
          <w:numId w:val="35"/>
        </w:numPr>
      </w:pPr>
      <w:r>
        <w:t>DMRS pattern dependency to PDSCH and PUSCH duration (first DMRS in 3</w:t>
      </w:r>
      <w:r w:rsidRPr="0025279A">
        <w:rPr>
          <w:vertAlign w:val="superscript"/>
        </w:rPr>
        <w:t>rd</w:t>
      </w:r>
      <w:r>
        <w:t xml:space="preserve"> or 4</w:t>
      </w:r>
      <w:r w:rsidRPr="0025279A">
        <w:rPr>
          <w:vertAlign w:val="superscript"/>
        </w:rPr>
        <w:t>th</w:t>
      </w:r>
      <w:r>
        <w:t xml:space="preserve"> symbol) when</w:t>
      </w:r>
    </w:p>
    <w:p w14:paraId="67D1C51D" w14:textId="77777777" w:rsidR="005765CB" w:rsidRDefault="005765CB" w:rsidP="005765CB">
      <w:pPr>
        <w:pStyle w:val="BodyText"/>
        <w:numPr>
          <w:ilvl w:val="1"/>
          <w:numId w:val="35"/>
        </w:numPr>
      </w:pPr>
      <w:r>
        <w:t>two or three additional 1-symbol DMRS have been configured</w:t>
      </w:r>
    </w:p>
    <w:p w14:paraId="7583E816" w14:textId="77777777" w:rsidR="005765CB" w:rsidRDefault="005765CB" w:rsidP="005765CB">
      <w:pPr>
        <w:pStyle w:val="BodyText"/>
        <w:numPr>
          <w:ilvl w:val="1"/>
          <w:numId w:val="35"/>
        </w:numPr>
      </w:pPr>
      <w:r>
        <w:t>one additional 2-symbol DMRS is configured and PDSCH span</w:t>
      </w:r>
      <w:r w:rsidRPr="001C20E4">
        <w:t xml:space="preserve"> to the Xth symbol where X&lt;10</w:t>
      </w:r>
    </w:p>
    <w:p w14:paraId="606B8C2D" w14:textId="77777777" w:rsidR="005765CB" w:rsidRDefault="005765CB" w:rsidP="005765CB">
      <w:pPr>
        <w:pStyle w:val="BodyText"/>
        <w:numPr>
          <w:ilvl w:val="0"/>
          <w:numId w:val="35"/>
        </w:numPr>
      </w:pPr>
      <w:r>
        <w:t>DMRS pattern for PUSCH when first DMRS occurs in 1</w:t>
      </w:r>
      <w:r w:rsidRPr="0025279A">
        <w:rPr>
          <w:vertAlign w:val="superscript"/>
        </w:rPr>
        <w:t>st</w:t>
      </w:r>
      <w:r>
        <w:t xml:space="preserve"> UL symbol</w:t>
      </w:r>
    </w:p>
    <w:p w14:paraId="18ED81AD" w14:textId="77777777" w:rsidR="005765CB" w:rsidRDefault="005765CB" w:rsidP="005765CB">
      <w:pPr>
        <w:pStyle w:val="BodyText"/>
        <w:numPr>
          <w:ilvl w:val="1"/>
          <w:numId w:val="35"/>
        </w:numPr>
      </w:pPr>
      <w:r>
        <w:t>DMRS pattern dependency to PUSCH duration</w:t>
      </w:r>
    </w:p>
    <w:p w14:paraId="6A948FD4" w14:textId="77777777" w:rsidR="005765CB" w:rsidRDefault="005765CB" w:rsidP="005765CB">
      <w:pPr>
        <w:pStyle w:val="BodyText"/>
        <w:numPr>
          <w:ilvl w:val="0"/>
          <w:numId w:val="35"/>
        </w:numPr>
      </w:pPr>
      <w:r>
        <w:t>DMRS for non-slot based scheduling</w:t>
      </w:r>
    </w:p>
    <w:p w14:paraId="605EAAE1" w14:textId="77777777" w:rsidR="005765CB" w:rsidRDefault="005765CB" w:rsidP="005765CB">
      <w:pPr>
        <w:pStyle w:val="BodyText"/>
        <w:numPr>
          <w:ilvl w:val="0"/>
          <w:numId w:val="35"/>
        </w:numPr>
      </w:pPr>
      <w:r>
        <w:t>DMRS for frequency hopping in UL</w:t>
      </w:r>
    </w:p>
    <w:p w14:paraId="2ACE650A" w14:textId="77777777" w:rsidR="005765CB" w:rsidRDefault="005765CB" w:rsidP="005765CB">
      <w:pPr>
        <w:pStyle w:val="BodyText"/>
        <w:numPr>
          <w:ilvl w:val="0"/>
          <w:numId w:val="35"/>
        </w:numPr>
      </w:pPr>
      <w:r>
        <w:t>Antenna port mapping and indexing</w:t>
      </w:r>
    </w:p>
    <w:p w14:paraId="4B06E84E" w14:textId="77777777" w:rsidR="005765CB" w:rsidRDefault="005765CB" w:rsidP="005765CB">
      <w:pPr>
        <w:pStyle w:val="BodyText"/>
        <w:numPr>
          <w:ilvl w:val="0"/>
          <w:numId w:val="35"/>
        </w:numPr>
      </w:pPr>
      <w:r>
        <w:t>DMRS sequences</w:t>
      </w:r>
    </w:p>
    <w:p w14:paraId="630AD09A" w14:textId="77777777" w:rsidR="005765CB" w:rsidRDefault="005765CB" w:rsidP="005765CB">
      <w:pPr>
        <w:pStyle w:val="BodyText"/>
        <w:numPr>
          <w:ilvl w:val="0"/>
          <w:numId w:val="35"/>
        </w:numPr>
      </w:pPr>
      <w:r>
        <w:t>DMRS power boosting</w:t>
      </w:r>
    </w:p>
    <w:p w14:paraId="6FF3E58A" w14:textId="77777777" w:rsidR="005765CB" w:rsidRDefault="005765CB" w:rsidP="00743D20">
      <w:pPr>
        <w:pStyle w:val="BodyText"/>
      </w:pPr>
    </w:p>
    <w:p w14:paraId="1DD993FB" w14:textId="7D1CB5F5" w:rsidR="00743D20" w:rsidRDefault="00092C4D" w:rsidP="00CE0424">
      <w:pPr>
        <w:pStyle w:val="Heading1"/>
      </w:pPr>
      <w:r>
        <w:t>PDSCH</w:t>
      </w:r>
      <w:r w:rsidR="00743D20">
        <w:t xml:space="preserve"> DMRS patterns</w:t>
      </w:r>
    </w:p>
    <w:p w14:paraId="22DDDCCD" w14:textId="24B1F182" w:rsidR="00743D20" w:rsidRDefault="00092C4D" w:rsidP="00743D20">
      <w:pPr>
        <w:pStyle w:val="Heading2"/>
      </w:pPr>
      <w:r>
        <w:t>Default PDSCH</w:t>
      </w:r>
      <w:r w:rsidR="00743D20">
        <w:t xml:space="preserve"> DMRS pattern</w:t>
      </w:r>
    </w:p>
    <w:p w14:paraId="051D3EBD" w14:textId="2FBE2383" w:rsidR="00743D20" w:rsidRDefault="00743D20" w:rsidP="00743D20">
      <w:pPr>
        <w:pStyle w:val="BodyText"/>
      </w:pPr>
      <w:r>
        <w:t xml:space="preserve">A default DMRS pattern </w:t>
      </w:r>
      <w:r w:rsidR="00092C4D">
        <w:t xml:space="preserve">for PDSCH </w:t>
      </w:r>
      <w:r>
        <w:t xml:space="preserve">will be needed </w:t>
      </w:r>
      <w:r w:rsidR="00092C4D">
        <w:t xml:space="preserve">before </w:t>
      </w:r>
      <w:r>
        <w:t xml:space="preserve">a UE has been RRC configured. The design of the default DMRS pattern must be robust and provide sufficiently accurate channel estimates at low SINRs, high Doppler spreads and large channel delay spreads. In other words, a default DMRS pattern should be dense in both frequency and time but there would be a trade-off between additional overhead for channel processing gain versus reduced coding gain for messages with fixed transport block sizes. </w:t>
      </w:r>
    </w:p>
    <w:p w14:paraId="4DFC9EF1" w14:textId="34709E2D" w:rsidR="00743D20" w:rsidRDefault="00743D20" w:rsidP="00743D20">
      <w:pPr>
        <w:pStyle w:val="BodyText"/>
      </w:pPr>
      <w:r>
        <w:t>In the pr</w:t>
      </w:r>
      <w:r w:rsidR="00FF518A">
        <w:t xml:space="preserve">evious RAN1 a working assumption was made </w:t>
      </w:r>
      <w:r>
        <w:t>that DMRS configuration 1 is used for broadcast and multicast:</w:t>
      </w:r>
    </w:p>
    <w:p w14:paraId="6F6A6BEC" w14:textId="77777777" w:rsidR="00743D20" w:rsidRPr="00724130" w:rsidRDefault="00743D20" w:rsidP="00743D20">
      <w:pPr>
        <w:pStyle w:val="ListParagraph"/>
        <w:numPr>
          <w:ilvl w:val="0"/>
          <w:numId w:val="17"/>
        </w:numPr>
        <w:spacing w:after="0"/>
      </w:pPr>
      <w:r w:rsidRPr="00724130">
        <w:t>For broadcast/multicast PDSCH (other than PBCH): support using the front-load DMRS Configuration 1</w:t>
      </w:r>
    </w:p>
    <w:p w14:paraId="60BB3DE9" w14:textId="77777777" w:rsidR="00743D20" w:rsidRDefault="00743D20" w:rsidP="00743D20">
      <w:pPr>
        <w:numPr>
          <w:ilvl w:val="1"/>
          <w:numId w:val="17"/>
        </w:numPr>
        <w:tabs>
          <w:tab w:val="num" w:pos="720"/>
          <w:tab w:val="left" w:pos="1440"/>
        </w:tabs>
        <w:overflowPunct/>
        <w:autoSpaceDE/>
        <w:autoSpaceDN/>
        <w:adjustRightInd/>
        <w:spacing w:after="0"/>
        <w:jc w:val="left"/>
        <w:textAlignment w:val="auto"/>
        <w:rPr>
          <w:rFonts w:eastAsia="MS Mincho"/>
          <w:lang w:eastAsia="ja-JP"/>
        </w:rPr>
      </w:pPr>
      <w:r>
        <w:rPr>
          <w:rFonts w:eastAsia="MS Mincho"/>
          <w:lang w:eastAsia="ja-JP"/>
        </w:rPr>
        <w:t xml:space="preserve">FFS: Whether the above applies for unicast PDSCH transmission before RRC connection </w:t>
      </w:r>
    </w:p>
    <w:p w14:paraId="0A42F32F" w14:textId="77777777" w:rsidR="00743D20" w:rsidRPr="0010543C" w:rsidRDefault="00743D20" w:rsidP="00D77BFF">
      <w:pPr>
        <w:tabs>
          <w:tab w:val="num" w:pos="720"/>
          <w:tab w:val="left" w:pos="1440"/>
        </w:tabs>
        <w:ind w:left="1080"/>
        <w:rPr>
          <w:rFonts w:eastAsia="MS Mincho"/>
          <w:lang w:eastAsia="ja-JP"/>
        </w:rPr>
      </w:pPr>
    </w:p>
    <w:p w14:paraId="4577F5E4" w14:textId="6D28277B" w:rsidR="00743D20" w:rsidRDefault="00743D20" w:rsidP="00743D20">
      <w:pPr>
        <w:pStyle w:val="BodyText"/>
      </w:pPr>
      <w:r>
        <w:t>An open issue is whether the same default pattern is used for unicast before RRC connection, e.g. to receive the actual RRC configuration. Such message can be quite large, up to 1000 bits or even more if more advanced functionality is introduced.</w:t>
      </w:r>
      <w:r w:rsidR="00092C4D">
        <w:t xml:space="preserve"> It would be very complicated if the default broadcast/multicast patterns are not used for all transmisisons prior to RRC configuration, i.e. for unicast. If that would be the case, then for example, in the RAR procedure, Msg2 would use one pattern and Msg4 would use another DMRS pattern. The benefit of this complexity increase is unclear. </w:t>
      </w:r>
    </w:p>
    <w:p w14:paraId="7499D965" w14:textId="3D1778B5" w:rsidR="0002225F" w:rsidRDefault="0002225F" w:rsidP="00743D20">
      <w:pPr>
        <w:pStyle w:val="BodyText"/>
      </w:pPr>
      <w:r>
        <w:t>We have performed a set of evaluations, see [1], to validate the working assumption and has come to the conclusion that it can be confirmed.</w:t>
      </w:r>
    </w:p>
    <w:p w14:paraId="5AE08E6E" w14:textId="63F5C786" w:rsidR="00743D20" w:rsidRDefault="00743D20" w:rsidP="00743D20">
      <w:pPr>
        <w:pStyle w:val="BodyText"/>
      </w:pPr>
      <w:r>
        <w:lastRenderedPageBreak/>
        <w:t xml:space="preserve">Moreover, it has been agreed to use at least two additional DMRS symbols for the default DMRS pattern and based on our </w:t>
      </w:r>
      <w:r w:rsidRPr="00A3114C">
        <w:t>e</w:t>
      </w:r>
      <w:r w:rsidR="00A3114C" w:rsidRPr="00A3114C">
        <w:t xml:space="preserve">valuations (see results in </w:t>
      </w:r>
      <w:r w:rsidR="00A3114C" w:rsidRPr="00A3114C">
        <w:fldChar w:fldCharType="begin"/>
      </w:r>
      <w:r w:rsidR="00A3114C" w:rsidRPr="00A3114C">
        <w:instrText xml:space="preserve"> REF _Ref478147625 \r \h </w:instrText>
      </w:r>
      <w:r w:rsidR="00A3114C">
        <w:instrText xml:space="preserve"> \* MERGEFORMAT </w:instrText>
      </w:r>
      <w:r w:rsidR="00A3114C" w:rsidRPr="00A3114C">
        <w:fldChar w:fldCharType="separate"/>
      </w:r>
      <w:r w:rsidR="00037459">
        <w:t>[1]</w:t>
      </w:r>
      <w:r w:rsidR="00A3114C" w:rsidRPr="00A3114C">
        <w:fldChar w:fldCharType="end"/>
      </w:r>
      <w:r w:rsidRPr="00A3114C">
        <w:t>),</w:t>
      </w:r>
      <w:r>
        <w:t xml:space="preserve"> we see </w:t>
      </w:r>
      <w:r w:rsidRPr="00985D16">
        <w:t>that two additional outperforms three additional</w:t>
      </w:r>
      <w:r>
        <w:t xml:space="preserve"> DMRS symbols.</w:t>
      </w:r>
    </w:p>
    <w:p w14:paraId="0AB21340" w14:textId="77777777" w:rsidR="00092C4D" w:rsidRDefault="00743D20" w:rsidP="00743D20">
      <w:pPr>
        <w:pStyle w:val="Proposal"/>
      </w:pPr>
      <w:bookmarkStart w:id="5" w:name="_Toc494352385"/>
      <w:bookmarkStart w:id="6" w:name="_Toc494352411"/>
      <w:bookmarkStart w:id="7" w:name="_Toc494356594"/>
      <w:bookmarkStart w:id="8" w:name="_Toc494356675"/>
      <w:bookmarkStart w:id="9" w:name="_Toc494368400"/>
      <w:bookmarkStart w:id="10" w:name="_Toc494370561"/>
      <w:bookmarkStart w:id="11" w:name="_Toc494391436"/>
      <w:bookmarkStart w:id="12" w:name="_Toc494713959"/>
      <w:bookmarkStart w:id="13" w:name="_Toc496599742"/>
      <w:bookmarkStart w:id="14" w:name="_Toc498716620"/>
      <w:r>
        <w:t>Confirm WA for default pattern f</w:t>
      </w:r>
      <w:r w:rsidRPr="00832850">
        <w:t>or broadcast/mu</w:t>
      </w:r>
      <w:r>
        <w:t xml:space="preserve">lticast PDSCH </w:t>
      </w:r>
      <w:r w:rsidRPr="00724130">
        <w:t>using the front-load DMRS Configuration 1</w:t>
      </w:r>
      <w:bookmarkEnd w:id="14"/>
      <w:r>
        <w:t xml:space="preserve"> </w:t>
      </w:r>
    </w:p>
    <w:p w14:paraId="6CA2C443" w14:textId="77777777" w:rsidR="00092C4D" w:rsidRDefault="00092C4D" w:rsidP="00743D20">
      <w:pPr>
        <w:pStyle w:val="Proposal"/>
      </w:pPr>
      <w:bookmarkStart w:id="15" w:name="_Toc498716621"/>
      <w:r>
        <w:t>Use the same default DMRS configuration for all PDSCH receptions until configured otherwise by RRC</w:t>
      </w:r>
      <w:bookmarkEnd w:id="15"/>
    </w:p>
    <w:p w14:paraId="74C81304" w14:textId="6F2CC189" w:rsidR="00092C4D" w:rsidRDefault="00092C4D" w:rsidP="00092C4D">
      <w:pPr>
        <w:pStyle w:val="Proposal"/>
      </w:pPr>
      <w:bookmarkStart w:id="16" w:name="_Toc498716622"/>
      <w:r>
        <w:t xml:space="preserve">The default pattern use single front loaded with </w:t>
      </w:r>
      <w:r w:rsidR="00743D20" w:rsidRPr="00985D16">
        <w:t>two additional</w:t>
      </w:r>
      <w:r w:rsidR="00743D20">
        <w:t xml:space="preserve"> </w:t>
      </w:r>
      <w:r w:rsidR="00743D20" w:rsidRPr="00985D16">
        <w:t>DMRS symbols (1+1+1)</w:t>
      </w:r>
      <w:bookmarkEnd w:id="16"/>
      <w:r w:rsidR="00743D20" w:rsidRPr="00985D16">
        <w:t xml:space="preserve"> </w:t>
      </w:r>
    </w:p>
    <w:p w14:paraId="163CABAC" w14:textId="5BEE3DFC" w:rsidR="00743D20" w:rsidRDefault="005E6FAC" w:rsidP="005E6FAC">
      <w:pPr>
        <w:pStyle w:val="Proposal"/>
      </w:pPr>
      <w:bookmarkStart w:id="17" w:name="_Toc498716623"/>
      <w:bookmarkEnd w:id="5"/>
      <w:bookmarkEnd w:id="6"/>
      <w:bookmarkEnd w:id="7"/>
      <w:bookmarkEnd w:id="8"/>
      <w:bookmarkEnd w:id="9"/>
      <w:bookmarkEnd w:id="10"/>
      <w:bookmarkEnd w:id="11"/>
      <w:bookmarkEnd w:id="12"/>
      <w:bookmarkEnd w:id="13"/>
      <w:r>
        <w:t>The default transmission use DMRS port 0 using SU-MIMO and DMRS power boosting enabled, i.e. PDSCH is not mapped as FDM with DMRS and PDSCH to DMRS EPRE is -3 dB</w:t>
      </w:r>
      <w:bookmarkEnd w:id="17"/>
    </w:p>
    <w:p w14:paraId="53CBEBF8" w14:textId="6A721D74" w:rsidR="00743D20" w:rsidRPr="00743D20" w:rsidRDefault="00743D20" w:rsidP="00743D20">
      <w:pPr>
        <w:pStyle w:val="Heading2"/>
      </w:pPr>
      <w:r w:rsidRPr="00743D20">
        <w:t xml:space="preserve">DMRS pattern selection dependence on </w:t>
      </w:r>
      <w:r w:rsidR="005A5716">
        <w:t>PDSCH duration</w:t>
      </w:r>
    </w:p>
    <w:p w14:paraId="3BAC2596" w14:textId="319E8927" w:rsidR="00DF033B" w:rsidRDefault="005A5716" w:rsidP="00DF033B">
      <w:pPr>
        <w:pStyle w:val="BodyText"/>
      </w:pPr>
      <w:r>
        <w:t xml:space="preserve">When additional DMRS is configured, and if the PDSCH region is short so that the last DMRS symbol(s) is outside the PDSCH region, </w:t>
      </w:r>
      <w:r w:rsidR="00DF033B">
        <w:t>the behaviour is yet undecided.</w:t>
      </w:r>
    </w:p>
    <w:p w14:paraId="5DA70AC3" w14:textId="73AC7FB5" w:rsidR="00DF033B" w:rsidRDefault="00DF033B" w:rsidP="00DF033B">
      <w:pPr>
        <w:rPr>
          <w:bCs/>
          <w:i/>
          <w:iCs/>
          <w:lang w:val="en-US" w:eastAsia="ko-KR"/>
        </w:rPr>
      </w:pPr>
      <w:r w:rsidRPr="00610380">
        <w:t>Open issue</w:t>
      </w:r>
      <w:r>
        <w:t xml:space="preserve"> stated from the previous meeting</w:t>
      </w:r>
      <w:r w:rsidRPr="00610380">
        <w:t xml:space="preserve">: </w:t>
      </w:r>
      <w:r w:rsidRPr="00610380">
        <w:rPr>
          <w:bCs/>
          <w:i/>
          <w:iCs/>
          <w:lang w:val="en-US" w:eastAsia="ko-KR"/>
        </w:rPr>
        <w:t xml:space="preserve">Study and conclude in next meeting UE behaviour and/or DMRS pattern(s) </w:t>
      </w:r>
      <w:bookmarkStart w:id="18" w:name="_Hlk498695558"/>
      <w:r w:rsidRPr="00610380">
        <w:rPr>
          <w:bCs/>
          <w:i/>
          <w:iCs/>
          <w:lang w:val="en-US" w:eastAsia="ko-KR"/>
        </w:rPr>
        <w:t>for the slots with PDSCH duration which is not covered by previous agreements</w:t>
      </w:r>
      <w:bookmarkEnd w:id="18"/>
      <w:r w:rsidRPr="00610380">
        <w:rPr>
          <w:bCs/>
          <w:i/>
          <w:iCs/>
          <w:lang w:val="en-US" w:eastAsia="ko-KR"/>
        </w:rPr>
        <w:t xml:space="preserve">; e.g., For the 2-symbol front-load DMRS with one additional 2-symbol DMRS and PDSCH spanning to the Xth symbol where X&lt;10. </w:t>
      </w:r>
    </w:p>
    <w:p w14:paraId="6C54BC78" w14:textId="6F5D94F7" w:rsidR="00DF033B" w:rsidRPr="004D3674" w:rsidRDefault="00DF033B" w:rsidP="00DF033B">
      <w:pPr>
        <w:rPr>
          <w:bCs/>
          <w:i/>
          <w:iCs/>
          <w:lang w:val="en-US" w:eastAsia="ko-KR"/>
        </w:rPr>
      </w:pPr>
      <w:r>
        <w:rPr>
          <w:bCs/>
          <w:iCs/>
          <w:lang w:val="en-US" w:eastAsia="ko-KR"/>
        </w:rPr>
        <w:t xml:space="preserve">The proposed PDSCH DMRS patterns that have not been covered by previous agreements are those depicted by red boxes in </w:t>
      </w:r>
      <w:r>
        <w:rPr>
          <w:bCs/>
          <w:iCs/>
          <w:lang w:val="en-US" w:eastAsia="ko-KR"/>
        </w:rPr>
        <w:fldChar w:fldCharType="begin"/>
      </w:r>
      <w:r>
        <w:rPr>
          <w:bCs/>
          <w:iCs/>
          <w:lang w:val="en-US" w:eastAsia="ko-KR"/>
        </w:rPr>
        <w:instrText xml:space="preserve"> REF _Ref498696537 \h </w:instrText>
      </w:r>
      <w:r>
        <w:rPr>
          <w:bCs/>
          <w:iCs/>
          <w:lang w:val="en-US" w:eastAsia="ko-KR"/>
        </w:rPr>
      </w:r>
      <w:r>
        <w:rPr>
          <w:bCs/>
          <w:iCs/>
          <w:lang w:val="en-US" w:eastAsia="ko-KR"/>
        </w:rPr>
        <w:fldChar w:fldCharType="separate"/>
      </w:r>
      <w:r w:rsidR="00037459">
        <w:t xml:space="preserve">Figure </w:t>
      </w:r>
      <w:r w:rsidR="00037459">
        <w:rPr>
          <w:noProof/>
        </w:rPr>
        <w:t>1</w:t>
      </w:r>
      <w:r>
        <w:rPr>
          <w:bCs/>
          <w:iCs/>
          <w:lang w:val="en-US" w:eastAsia="ko-KR"/>
        </w:rPr>
        <w:fldChar w:fldCharType="end"/>
      </w:r>
      <w:r>
        <w:rPr>
          <w:bCs/>
          <w:iCs/>
          <w:lang w:val="en-US" w:eastAsia="ko-KR"/>
        </w:rPr>
        <w:t>. For configurations with first DMRS in 3</w:t>
      </w:r>
      <w:r w:rsidRPr="001052B0">
        <w:rPr>
          <w:bCs/>
          <w:iCs/>
          <w:vertAlign w:val="superscript"/>
          <w:lang w:val="en-US" w:eastAsia="ko-KR"/>
        </w:rPr>
        <w:t>rd</w:t>
      </w:r>
      <w:r>
        <w:rPr>
          <w:bCs/>
          <w:iCs/>
          <w:lang w:val="en-US" w:eastAsia="ko-KR"/>
        </w:rPr>
        <w:t xml:space="preserve"> symbol, the same additional DMRS mapping is proposed when applicable.</w:t>
      </w:r>
    </w:p>
    <w:p w14:paraId="09CF3B70" w14:textId="6DC48898" w:rsidR="00DF033B" w:rsidRDefault="00DF033B" w:rsidP="00DF033B">
      <w:pPr>
        <w:pStyle w:val="Proposal"/>
        <w:rPr>
          <w:lang w:val="en-US"/>
        </w:rPr>
      </w:pPr>
      <w:bookmarkStart w:id="19" w:name="_Toc498716624"/>
      <w:r>
        <w:rPr>
          <w:lang w:val="en-US"/>
        </w:rPr>
        <w:t xml:space="preserve">Supported DMRS pattern(s) for </w:t>
      </w:r>
      <w:r w:rsidRPr="00655F75">
        <w:rPr>
          <w:lang w:val="en-US"/>
        </w:rPr>
        <w:t xml:space="preserve">slots </w:t>
      </w:r>
      <w:r>
        <w:rPr>
          <w:lang w:val="en-US"/>
        </w:rPr>
        <w:t xml:space="preserve">with different PDSCH duration are those depicted in </w:t>
      </w:r>
      <w:r>
        <w:rPr>
          <w:lang w:val="en-US"/>
        </w:rPr>
        <w:fldChar w:fldCharType="begin"/>
      </w:r>
      <w:r>
        <w:rPr>
          <w:lang w:val="en-US"/>
        </w:rPr>
        <w:instrText xml:space="preserve"> REF _Ref498696537 \h </w:instrText>
      </w:r>
      <w:r>
        <w:rPr>
          <w:lang w:val="en-US"/>
        </w:rPr>
      </w:r>
      <w:r>
        <w:rPr>
          <w:lang w:val="en-US"/>
        </w:rPr>
        <w:fldChar w:fldCharType="separate"/>
      </w:r>
      <w:r w:rsidR="00037459">
        <w:t xml:space="preserve">Figure </w:t>
      </w:r>
      <w:r w:rsidR="00037459">
        <w:rPr>
          <w:noProof/>
        </w:rPr>
        <w:t>1</w:t>
      </w:r>
      <w:r>
        <w:rPr>
          <w:lang w:val="en-US"/>
        </w:rPr>
        <w:fldChar w:fldCharType="end"/>
      </w:r>
      <w:r>
        <w:rPr>
          <w:lang w:val="en-US"/>
        </w:rPr>
        <w:t xml:space="preserve">. </w:t>
      </w:r>
      <w:r>
        <w:rPr>
          <w:iCs/>
          <w:lang w:val="en-US" w:eastAsia="ko-KR"/>
        </w:rPr>
        <w:t>Configurations with first DMRS in 3</w:t>
      </w:r>
      <w:r w:rsidRPr="001052B0">
        <w:rPr>
          <w:iCs/>
          <w:vertAlign w:val="superscript"/>
          <w:lang w:val="en-US" w:eastAsia="ko-KR"/>
        </w:rPr>
        <w:t>rd</w:t>
      </w:r>
      <w:r>
        <w:rPr>
          <w:bCs w:val="0"/>
          <w:iCs/>
          <w:lang w:val="en-US" w:eastAsia="ko-KR"/>
        </w:rPr>
        <w:t xml:space="preserve"> symbol use the same locations of additional DMRS when applicable.</w:t>
      </w:r>
      <w:bookmarkEnd w:id="19"/>
    </w:p>
    <w:p w14:paraId="6E27E444" w14:textId="77777777" w:rsidR="00DF033B" w:rsidRPr="005A5716" w:rsidRDefault="00DF033B" w:rsidP="00DF033B">
      <w:pPr>
        <w:pStyle w:val="BodyText"/>
        <w:rPr>
          <w:lang w:val="en-US"/>
        </w:rPr>
      </w:pPr>
    </w:p>
    <w:p w14:paraId="0B6D07D5" w14:textId="77777777" w:rsidR="00DF033B" w:rsidRDefault="00DF033B" w:rsidP="00DF033B">
      <w:pPr>
        <w:pStyle w:val="Caption"/>
        <w:keepNext/>
        <w:rPr>
          <w:noProof/>
          <w:lang w:val="en-US" w:eastAsia="sv-SE"/>
        </w:rPr>
      </w:pPr>
      <w:r>
        <w:rPr>
          <w:noProof/>
          <w:lang w:val="en-US" w:eastAsia="sv-SE"/>
        </w:rPr>
        <w:drawing>
          <wp:inline distT="0" distB="0" distL="0" distR="0" wp14:anchorId="48E49082" wp14:editId="03889FF9">
            <wp:extent cx="4525200" cy="2034000"/>
            <wp:effectExtent l="0" t="0" r="889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MRS PDSCH Picture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25200" cy="2034000"/>
                    </a:xfrm>
                    <a:prstGeom prst="rect">
                      <a:avLst/>
                    </a:prstGeom>
                  </pic:spPr>
                </pic:pic>
              </a:graphicData>
            </a:graphic>
          </wp:inline>
        </w:drawing>
      </w:r>
    </w:p>
    <w:p w14:paraId="70D2250E" w14:textId="2683978D" w:rsidR="00DF033B" w:rsidRPr="005A5716" w:rsidRDefault="00DF033B" w:rsidP="00DF033B">
      <w:pPr>
        <w:pStyle w:val="Caption"/>
        <w:rPr>
          <w:lang w:val="en-US" w:eastAsia="sv-SE"/>
        </w:rPr>
      </w:pPr>
      <w:bookmarkStart w:id="20" w:name="_Ref498696537"/>
      <w:r>
        <w:t xml:space="preserve">Figure </w:t>
      </w:r>
      <w:r>
        <w:fldChar w:fldCharType="begin"/>
      </w:r>
      <w:r>
        <w:instrText xml:space="preserve"> SEQ Figure \* ARABIC </w:instrText>
      </w:r>
      <w:r>
        <w:fldChar w:fldCharType="separate"/>
      </w:r>
      <w:r w:rsidR="00037459">
        <w:rPr>
          <w:noProof/>
        </w:rPr>
        <w:t>1</w:t>
      </w:r>
      <w:r>
        <w:fldChar w:fldCharType="end"/>
      </w:r>
      <w:bookmarkEnd w:id="20"/>
      <w:r>
        <w:t xml:space="preserve"> DL DMRS patterns for </w:t>
      </w:r>
      <w:r w:rsidRPr="00655F75">
        <w:t xml:space="preserve">slots </w:t>
      </w:r>
      <w:r>
        <w:t>with first DMRS in 2</w:t>
      </w:r>
      <w:r w:rsidRPr="00D02774">
        <w:rPr>
          <w:vertAlign w:val="superscript"/>
        </w:rPr>
        <w:t>nd</w:t>
      </w:r>
      <w:r>
        <w:t xml:space="preserve"> symbol and </w:t>
      </w:r>
      <w:r w:rsidRPr="00655F75">
        <w:t xml:space="preserve">with </w:t>
      </w:r>
      <w:r>
        <w:t xml:space="preserve">different </w:t>
      </w:r>
      <w:r w:rsidRPr="00655F75">
        <w:t>PDSCH duration</w:t>
      </w:r>
      <w:r>
        <w:t>,</w:t>
      </w:r>
      <w:r w:rsidRPr="00655F75">
        <w:t xml:space="preserve"> </w:t>
      </w:r>
      <w:r>
        <w:t>in which those in red boxes have</w:t>
      </w:r>
      <w:r w:rsidRPr="00655F75">
        <w:t xml:space="preserve"> not </w:t>
      </w:r>
      <w:r>
        <w:t xml:space="preserve">been </w:t>
      </w:r>
      <w:r w:rsidRPr="00655F75">
        <w:t>covered by previous agreements</w:t>
      </w:r>
    </w:p>
    <w:p w14:paraId="57D1DD6A" w14:textId="77777777" w:rsidR="005A5716" w:rsidRDefault="005A5716" w:rsidP="005A5716">
      <w:pPr>
        <w:rPr>
          <w:rFonts w:ascii="Calibri" w:hAnsi="Calibri"/>
          <w:sz w:val="22"/>
          <w:szCs w:val="22"/>
          <w:lang w:val="en-US" w:eastAsia="sv-SE"/>
        </w:rPr>
      </w:pPr>
    </w:p>
    <w:p w14:paraId="08426CD4" w14:textId="60614022" w:rsidR="005A5716" w:rsidRPr="005A5716" w:rsidRDefault="005A5716" w:rsidP="005A5716">
      <w:pPr>
        <w:pStyle w:val="BodyText"/>
        <w:rPr>
          <w:lang w:val="en-US"/>
        </w:rPr>
      </w:pPr>
    </w:p>
    <w:p w14:paraId="5E34E0C6" w14:textId="77777777" w:rsidR="00DD2441" w:rsidRPr="008072ED" w:rsidRDefault="00DD2441" w:rsidP="00743D20">
      <w:pPr>
        <w:pStyle w:val="Caption"/>
        <w:keepNext/>
        <w:rPr>
          <w:noProof/>
          <w:lang w:val="en-US" w:eastAsia="sv-SE"/>
        </w:rPr>
      </w:pPr>
    </w:p>
    <w:p w14:paraId="62963C46" w14:textId="7FE12A2D" w:rsidR="00743D20" w:rsidRDefault="00743D20" w:rsidP="00743D20">
      <w:pPr>
        <w:pStyle w:val="Heading2"/>
        <w:numPr>
          <w:ilvl w:val="0"/>
          <w:numId w:val="0"/>
        </w:numPr>
        <w:ind w:left="576" w:hanging="576"/>
        <w:rPr>
          <w:lang w:val="en-US"/>
        </w:rPr>
      </w:pPr>
      <w:r w:rsidRPr="00743D20">
        <w:rPr>
          <w:lang w:val="en-US"/>
        </w:rPr>
        <w:t>2.3.</w:t>
      </w:r>
      <w:r w:rsidRPr="00743D20">
        <w:rPr>
          <w:lang w:val="en-US"/>
        </w:rPr>
        <w:tab/>
      </w:r>
      <w:r w:rsidR="00736D38">
        <w:rPr>
          <w:lang w:val="en-US"/>
        </w:rPr>
        <w:t xml:space="preserve">DL </w:t>
      </w:r>
      <w:r w:rsidRPr="00743D20">
        <w:rPr>
          <w:lang w:val="en-US"/>
        </w:rPr>
        <w:t xml:space="preserve">DMRS patterns for </w:t>
      </w:r>
      <w:r w:rsidR="00DF1FD5">
        <w:rPr>
          <w:lang w:val="en-US"/>
        </w:rPr>
        <w:t>non-slot based scheduling</w:t>
      </w:r>
    </w:p>
    <w:p w14:paraId="59EAE08E" w14:textId="77777777" w:rsidR="005E6FAC" w:rsidRDefault="005E6FAC" w:rsidP="005E6FAC">
      <w:pPr>
        <w:rPr>
          <w:lang w:eastAsia="ja-JP"/>
        </w:rPr>
      </w:pPr>
      <w:r>
        <w:rPr>
          <w:lang w:eastAsia="ja-JP"/>
        </w:rPr>
        <w:t>For December “release” of NR, RAN1 should focus on mini slots of length 2,4 and 7 symbols. In the email discussion following RAN1#90bis, there were some remaining open issues for which we have these proposals:</w:t>
      </w:r>
    </w:p>
    <w:p w14:paraId="22B59608" w14:textId="77777777" w:rsidR="005E6FAC" w:rsidRDefault="005E6FAC" w:rsidP="005E6FAC">
      <w:pPr>
        <w:rPr>
          <w:lang w:eastAsia="ja-JP"/>
        </w:rPr>
      </w:pPr>
    </w:p>
    <w:p w14:paraId="2B4980B5" w14:textId="77777777" w:rsidR="005E6FAC" w:rsidRDefault="005E6FAC" w:rsidP="005E6FAC">
      <w:pPr>
        <w:pStyle w:val="Proposal"/>
        <w:numPr>
          <w:ilvl w:val="0"/>
          <w:numId w:val="40"/>
        </w:numPr>
        <w:tabs>
          <w:tab w:val="clear" w:pos="1304"/>
        </w:tabs>
        <w:ind w:left="1701" w:hanging="1701"/>
        <w:textAlignment w:val="auto"/>
        <w:rPr>
          <w:lang w:eastAsia="ja-JP"/>
        </w:rPr>
      </w:pPr>
      <w:bookmarkStart w:id="21" w:name="_Toc498716625"/>
      <w:r>
        <w:rPr>
          <w:lang w:eastAsia="ja-JP"/>
        </w:rPr>
        <w:t>For PDSCH/PUSCH mapping type B, both DMRS config type 1 and 2 may be configured and independent configurations for UL and DL.</w:t>
      </w:r>
      <w:bookmarkEnd w:id="21"/>
    </w:p>
    <w:p w14:paraId="3DDB6464" w14:textId="77777777" w:rsidR="005E6FAC" w:rsidRDefault="005E6FAC" w:rsidP="005E6FAC">
      <w:pPr>
        <w:pStyle w:val="Proposal"/>
        <w:numPr>
          <w:ilvl w:val="0"/>
          <w:numId w:val="40"/>
        </w:numPr>
        <w:tabs>
          <w:tab w:val="clear" w:pos="1304"/>
        </w:tabs>
        <w:ind w:left="1701" w:hanging="1701"/>
        <w:textAlignment w:val="auto"/>
        <w:rPr>
          <w:lang w:eastAsia="ja-JP"/>
        </w:rPr>
      </w:pPr>
      <w:bookmarkStart w:id="22" w:name="_Toc498716626"/>
      <w:r>
        <w:rPr>
          <w:lang w:eastAsia="ja-JP"/>
        </w:rPr>
        <w:t>For PDSCH/PUSCH mapping type B</w:t>
      </w:r>
      <w:r>
        <w:rPr>
          <w:iCs/>
          <w:lang w:eastAsia="ja-JP"/>
        </w:rPr>
        <w:t>, t</w:t>
      </w:r>
      <w:r>
        <w:rPr>
          <w:iCs/>
          <w:lang w:val="en-US" w:eastAsia="ja-JP"/>
        </w:rPr>
        <w:t>he number of additional DMRS when DL-DMRS-max-len=2 and the UE is dynamically scheduled with 1-symbol for front-load DMRS is one.</w:t>
      </w:r>
      <w:bookmarkEnd w:id="22"/>
    </w:p>
    <w:p w14:paraId="24A7127E" w14:textId="77777777" w:rsidR="005E6FAC" w:rsidRDefault="005E6FAC" w:rsidP="005E6FAC">
      <w:pPr>
        <w:pStyle w:val="Proposal"/>
        <w:numPr>
          <w:ilvl w:val="0"/>
          <w:numId w:val="40"/>
        </w:numPr>
        <w:tabs>
          <w:tab w:val="clear" w:pos="1304"/>
        </w:tabs>
        <w:ind w:left="1701" w:hanging="1701"/>
        <w:textAlignment w:val="auto"/>
        <w:rPr>
          <w:lang w:eastAsia="ja-JP"/>
        </w:rPr>
      </w:pPr>
      <w:bookmarkStart w:id="23" w:name="_Toc498716627"/>
      <w:r>
        <w:rPr>
          <w:lang w:eastAsia="ja-JP"/>
        </w:rPr>
        <w:t>For PDSCH/PUSCH mapping type B</w:t>
      </w:r>
      <w:r>
        <w:rPr>
          <w:iCs/>
          <w:lang w:eastAsia="ja-JP"/>
        </w:rPr>
        <w:t xml:space="preserve">, </w:t>
      </w:r>
      <w:r>
        <w:rPr>
          <w:iCs/>
          <w:lang w:val="en-US" w:eastAsia="ja-JP"/>
        </w:rPr>
        <w:t>DL-DMRS-max-len is configured independent for UL and DL</w:t>
      </w:r>
      <w:bookmarkEnd w:id="23"/>
    </w:p>
    <w:p w14:paraId="2E8CEE08" w14:textId="77777777" w:rsidR="00EA7324" w:rsidRPr="005E6FAC" w:rsidRDefault="00EA7324" w:rsidP="005A5716">
      <w:pPr>
        <w:rPr>
          <w:lang w:eastAsia="ja-JP"/>
        </w:rPr>
      </w:pPr>
    </w:p>
    <w:p w14:paraId="2F298982" w14:textId="4A949E8E" w:rsidR="00736D38" w:rsidRPr="00743D20" w:rsidRDefault="00736D38" w:rsidP="00736D38">
      <w:pPr>
        <w:pStyle w:val="Caption"/>
      </w:pPr>
      <w:r>
        <w:t>.</w:t>
      </w:r>
    </w:p>
    <w:p w14:paraId="4B177C23" w14:textId="05A76B08" w:rsidR="00743D20" w:rsidRDefault="00743D20" w:rsidP="00CE0424">
      <w:pPr>
        <w:pStyle w:val="Heading1"/>
      </w:pPr>
      <w:r>
        <w:t>UL DMRS patterns</w:t>
      </w:r>
    </w:p>
    <w:p w14:paraId="52826946" w14:textId="48894CBD" w:rsidR="003F62AF" w:rsidRDefault="003F62AF" w:rsidP="003F62AF">
      <w:pPr>
        <w:pStyle w:val="Heading2"/>
      </w:pPr>
      <w:r>
        <w:t>Default UL DMRS pattern</w:t>
      </w:r>
    </w:p>
    <w:p w14:paraId="735100D0" w14:textId="77777777" w:rsidR="005E6FAC" w:rsidRDefault="005E6FAC" w:rsidP="005E6FAC">
      <w:pPr>
        <w:pStyle w:val="BodyText"/>
      </w:pPr>
      <w:r>
        <w:t>A default UL DMRS pattern is needed for e.g. RAR Msg3. We prefer to keep the commonalities with the UL and we also observe that Type 1 DMRS is required when DFT-s-OFDM waveform is used in UL.</w:t>
      </w:r>
    </w:p>
    <w:p w14:paraId="05990F98" w14:textId="70B8876C" w:rsidR="005E6FAC" w:rsidRDefault="005E6FAC" w:rsidP="005E6FAC">
      <w:pPr>
        <w:pStyle w:val="Proposal"/>
        <w:numPr>
          <w:ilvl w:val="0"/>
          <w:numId w:val="40"/>
        </w:numPr>
        <w:tabs>
          <w:tab w:val="clear" w:pos="1304"/>
        </w:tabs>
        <w:ind w:left="1701" w:hanging="1701"/>
        <w:textAlignment w:val="auto"/>
      </w:pPr>
      <w:bookmarkStart w:id="24" w:name="_Toc498716628"/>
      <w:r>
        <w:t xml:space="preserve">The default PUSCH DMRS use configuration type 1, DMRS port </w:t>
      </w:r>
      <w:r w:rsidR="0051799E">
        <w:t>0 and</w:t>
      </w:r>
      <w:r>
        <w:t xml:space="preserve"> two additional DMRS symbols. PUSCH and DMRS are not FDM in the DMRS symbols so PUSCH to DMRS EPRE ratio is -3 dB.</w:t>
      </w:r>
      <w:bookmarkEnd w:id="24"/>
      <w:r>
        <w:t xml:space="preserve"> </w:t>
      </w:r>
    </w:p>
    <w:p w14:paraId="5866FC47" w14:textId="63489FDD" w:rsidR="004D3E22" w:rsidRDefault="00214AC3" w:rsidP="004D3E22">
      <w:pPr>
        <w:pStyle w:val="Heading2"/>
      </w:pPr>
      <w:r>
        <w:t xml:space="preserve">UL </w:t>
      </w:r>
      <w:r w:rsidR="004D3E22">
        <w:t>DMRS in</w:t>
      </w:r>
      <w:r>
        <w:t xml:space="preserve"> UL</w:t>
      </w:r>
      <w:r w:rsidR="004D3E22">
        <w:t xml:space="preserve"> only slots</w:t>
      </w:r>
    </w:p>
    <w:p w14:paraId="01E92429" w14:textId="77777777" w:rsidR="004D3E22" w:rsidRDefault="004D3E22" w:rsidP="004D3E22">
      <w:pPr>
        <w:pStyle w:val="BodyText"/>
      </w:pPr>
      <w:r>
        <w:t>It has previously been concluded that RAN1 should strive for a symmetrical DL and UL DMRS design (CP-OFDM). For the front-loaded DMRS with one 1-symbol additional DMRS this would imply for slots that the UL DMRS could be in 3</w:t>
      </w:r>
      <w:r w:rsidRPr="00C659C1">
        <w:rPr>
          <w:vertAlign w:val="superscript"/>
        </w:rPr>
        <w:t>rd</w:t>
      </w:r>
      <w:r>
        <w:t>, 4</w:t>
      </w:r>
      <w:r w:rsidRPr="00C659C1">
        <w:rPr>
          <w:vertAlign w:val="superscript"/>
        </w:rPr>
        <w:t>th</w:t>
      </w:r>
      <w:r>
        <w:t>, 8</w:t>
      </w:r>
      <w:r w:rsidRPr="00C659C1">
        <w:rPr>
          <w:vertAlign w:val="superscript"/>
        </w:rPr>
        <w:t>th</w:t>
      </w:r>
      <w:r>
        <w:t>, 10</w:t>
      </w:r>
      <w:r w:rsidRPr="00C659C1">
        <w:rPr>
          <w:vertAlign w:val="superscript"/>
        </w:rPr>
        <w:t>th</w:t>
      </w:r>
      <w:r>
        <w:t xml:space="preserve"> and 12</w:t>
      </w:r>
      <w:r w:rsidRPr="00C659C1">
        <w:rPr>
          <w:vertAlign w:val="superscript"/>
        </w:rPr>
        <w:t>th</w:t>
      </w:r>
      <w:r>
        <w:t xml:space="preserve"> symbol. However, a unified DL and UL location of the DMRS symbols will not be possible for mixed slots since the GP in UL heavy slots will delay the UL DMRS with respect to DL. On the other hand, for normal slots with UL only there could be UL DMRS symbol alignments with DL DMRS. </w:t>
      </w:r>
    </w:p>
    <w:p w14:paraId="681CEFBD" w14:textId="77777777" w:rsidR="004D3E22" w:rsidRDefault="004D3E22" w:rsidP="004D3E22">
      <w:pPr>
        <w:pStyle w:val="BodyText"/>
      </w:pPr>
      <w:r>
        <w:t xml:space="preserve">The placements of other UL transmissions such as SRS and short PUCCH may however impact the locations of the UL DMRS for PUSCH and since the transmit power of the other UL transmissions and the DMRS may differ there will be power ramping aspect to be considered in this case as well. By placing the other UL transmissions after PUSCH and DMRS, multiple power ramping occasions within the slot can be avoided. </w:t>
      </w:r>
    </w:p>
    <w:p w14:paraId="3926245E" w14:textId="77777777" w:rsidR="004D3E22" w:rsidRDefault="004D3E22" w:rsidP="004D3E22">
      <w:pPr>
        <w:pStyle w:val="BodyText"/>
      </w:pPr>
      <w:r>
        <w:t>An SRS resource in NR could refer to 1, 2 or 4 symbols and with short PUCCH of 1 or 2 symbols the one 1-symbol additional UL DMRS could be in 12</w:t>
      </w:r>
      <w:r w:rsidRPr="00DA40A5">
        <w:rPr>
          <w:vertAlign w:val="superscript"/>
        </w:rPr>
        <w:t>th</w:t>
      </w:r>
      <w:r>
        <w:t>, 10</w:t>
      </w:r>
      <w:r w:rsidRPr="0035344C">
        <w:rPr>
          <w:vertAlign w:val="superscript"/>
        </w:rPr>
        <w:t>th</w:t>
      </w:r>
      <w:r>
        <w:t xml:space="preserve"> and 8</w:t>
      </w:r>
      <w:r w:rsidRPr="00DA40A5">
        <w:rPr>
          <w:vertAlign w:val="superscript"/>
        </w:rPr>
        <w:t>th</w:t>
      </w:r>
      <w:r>
        <w:t xml:space="preserve"> symbol depending on PUSCH allocation, as illustrated in Figure 2. It can though be observed that for avoiding DMRS to be adjacent to a 6-symbol allocation of the other UL transmission one would need to consider additional locations for UL DMRS. </w:t>
      </w:r>
    </w:p>
    <w:p w14:paraId="074DFA8D" w14:textId="77777777" w:rsidR="004D3E22" w:rsidRDefault="004D3E22" w:rsidP="004D3E22">
      <w:pPr>
        <w:pStyle w:val="BodyText"/>
      </w:pPr>
      <w:r>
        <w:t xml:space="preserve">Another DL/UL symmetrical aspect is whether to consider first UL DMRS to be symbol-aligned with DL DMRS for the case of 3-symbols PDCCH. With PUSCH starting at the first symbol of the slot, this would impose channel extrapolation over 3 symbols. </w:t>
      </w:r>
    </w:p>
    <w:p w14:paraId="5591A2E0" w14:textId="358A3746" w:rsidR="004D3E22" w:rsidRDefault="004D3E22" w:rsidP="004D3E22">
      <w:pPr>
        <w:pStyle w:val="Proposal"/>
      </w:pPr>
      <w:bookmarkStart w:id="25" w:name="_Toc494352388"/>
      <w:bookmarkStart w:id="26" w:name="_Toc494352414"/>
      <w:bookmarkStart w:id="27" w:name="_Toc494356596"/>
      <w:bookmarkStart w:id="28" w:name="_Toc494356677"/>
      <w:bookmarkStart w:id="29" w:name="_Toc494368403"/>
      <w:bookmarkStart w:id="30" w:name="_Toc494370564"/>
      <w:bookmarkStart w:id="31" w:name="_Toc494391439"/>
      <w:bookmarkStart w:id="32" w:name="_Toc494713962"/>
      <w:bookmarkStart w:id="33" w:name="_Toc496599743"/>
      <w:bookmarkStart w:id="34" w:name="_Toc498716629"/>
      <w:r>
        <w:t>For PU</w:t>
      </w:r>
      <w:r w:rsidRPr="00FE013B">
        <w:t>SCH</w:t>
      </w:r>
      <w:r>
        <w:t xml:space="preserve"> in a slot with UL only transmissions where PUSCH starts at the first OFDM symbol</w:t>
      </w:r>
      <w:bookmarkStart w:id="35" w:name="_Toc494352389"/>
      <w:bookmarkStart w:id="36" w:name="_Toc494352415"/>
      <w:bookmarkEnd w:id="25"/>
      <w:bookmarkEnd w:id="26"/>
      <w:r>
        <w:t>, then the first DMRS symbol is at the 3</w:t>
      </w:r>
      <w:r w:rsidRPr="0074573B">
        <w:rPr>
          <w:vertAlign w:val="superscript"/>
        </w:rPr>
        <w:t>rd</w:t>
      </w:r>
      <w:r>
        <w:t xml:space="preserve"> </w:t>
      </w:r>
      <w:r w:rsidR="005A5716">
        <w:t xml:space="preserve"> or 4</w:t>
      </w:r>
      <w:r w:rsidR="005A5716" w:rsidRPr="001B5A08">
        <w:rPr>
          <w:vertAlign w:val="superscript"/>
        </w:rPr>
        <w:t>th</w:t>
      </w:r>
      <w:r w:rsidR="005A5716">
        <w:t xml:space="preserve"> </w:t>
      </w:r>
      <w:r>
        <w:t>symbol</w:t>
      </w:r>
      <w:bookmarkEnd w:id="35"/>
      <w:bookmarkEnd w:id="36"/>
      <w:r>
        <w:t xml:space="preserve"> </w:t>
      </w:r>
      <w:r w:rsidR="005A5716">
        <w:t xml:space="preserve">depending on signalling in PBCH, </w:t>
      </w:r>
      <w:r>
        <w:t>and the same patterns and slot format dependence (i.e. last PUSCH symbol) as DL DMRS with first DMRS in 3</w:t>
      </w:r>
      <w:r w:rsidRPr="003C3E55">
        <w:rPr>
          <w:vertAlign w:val="superscript"/>
        </w:rPr>
        <w:t>rd</w:t>
      </w:r>
      <w:r>
        <w:t xml:space="preserve"> symbol is used for UL DMRS (including 1+0, 2+0, 2+2, 1+1+1 and 1+1+1+1 patterns)</w:t>
      </w:r>
      <w:bookmarkEnd w:id="27"/>
      <w:bookmarkEnd w:id="28"/>
      <w:bookmarkEnd w:id="29"/>
      <w:bookmarkEnd w:id="30"/>
      <w:bookmarkEnd w:id="31"/>
      <w:bookmarkEnd w:id="32"/>
      <w:bookmarkEnd w:id="33"/>
      <w:bookmarkEnd w:id="34"/>
    </w:p>
    <w:p w14:paraId="12773679" w14:textId="0842F5A2" w:rsidR="001E22B7" w:rsidRDefault="001E22B7" w:rsidP="001E22B7">
      <w:pPr>
        <w:pStyle w:val="BodyText"/>
      </w:pPr>
    </w:p>
    <w:p w14:paraId="7F8DCFCB" w14:textId="77777777" w:rsidR="001E22B7" w:rsidRDefault="001E22B7" w:rsidP="001E22B7">
      <w:pPr>
        <w:pStyle w:val="BodyText"/>
      </w:pPr>
    </w:p>
    <w:p w14:paraId="7E69ACE2" w14:textId="77777777" w:rsidR="001E22B7" w:rsidRDefault="001E22B7" w:rsidP="001E22B7">
      <w:pPr>
        <w:pStyle w:val="BodyText"/>
        <w:jc w:val="center"/>
      </w:pPr>
      <w:r>
        <w:rPr>
          <w:noProof/>
        </w:rPr>
        <w:drawing>
          <wp:inline distT="0" distB="0" distL="0" distR="0" wp14:anchorId="06949048" wp14:editId="0C6FBDD3">
            <wp:extent cx="4525200" cy="202320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MRS PUSCH Pict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25200" cy="2023200"/>
                    </a:xfrm>
                    <a:prstGeom prst="rect">
                      <a:avLst/>
                    </a:prstGeom>
                  </pic:spPr>
                </pic:pic>
              </a:graphicData>
            </a:graphic>
          </wp:inline>
        </w:drawing>
      </w:r>
    </w:p>
    <w:p w14:paraId="371A49F8" w14:textId="33DAEA5A" w:rsidR="001E22B7" w:rsidRDefault="001E22B7" w:rsidP="001E22B7">
      <w:pPr>
        <w:pStyle w:val="Caption"/>
      </w:pPr>
      <w:r>
        <w:t xml:space="preserve">Figure </w:t>
      </w:r>
      <w:r>
        <w:fldChar w:fldCharType="begin"/>
      </w:r>
      <w:r>
        <w:instrText xml:space="preserve"> SEQ Figure \* ARABIC </w:instrText>
      </w:r>
      <w:r>
        <w:fldChar w:fldCharType="separate"/>
      </w:r>
      <w:r w:rsidR="00037459">
        <w:rPr>
          <w:noProof/>
        </w:rPr>
        <w:t>2</w:t>
      </w:r>
      <w:r>
        <w:fldChar w:fldCharType="end"/>
      </w:r>
      <w:r>
        <w:t xml:space="preserve"> UL DMRS patterns for </w:t>
      </w:r>
      <w:r w:rsidRPr="00655F75">
        <w:t xml:space="preserve">slots </w:t>
      </w:r>
      <w:r>
        <w:t>with first DMRS in 2</w:t>
      </w:r>
      <w:r w:rsidRPr="00D02774">
        <w:rPr>
          <w:vertAlign w:val="superscript"/>
        </w:rPr>
        <w:t>nd</w:t>
      </w:r>
      <w:r>
        <w:t xml:space="preserve"> symbol and </w:t>
      </w:r>
      <w:r w:rsidRPr="00655F75">
        <w:t xml:space="preserve">with </w:t>
      </w:r>
      <w:r>
        <w:t>different PU</w:t>
      </w:r>
      <w:r w:rsidRPr="00655F75">
        <w:t>SCH duration</w:t>
      </w:r>
    </w:p>
    <w:p w14:paraId="0BD5F137" w14:textId="77777777" w:rsidR="001E22B7" w:rsidRDefault="001E22B7" w:rsidP="001E22B7">
      <w:pPr>
        <w:pStyle w:val="BodyText"/>
      </w:pPr>
    </w:p>
    <w:p w14:paraId="6FFC46B3" w14:textId="01FBFAE4" w:rsidR="00743D20" w:rsidRDefault="00214AC3" w:rsidP="00743D20">
      <w:pPr>
        <w:pStyle w:val="Heading2"/>
      </w:pPr>
      <w:r>
        <w:t xml:space="preserve">UL </w:t>
      </w:r>
      <w:r w:rsidR="00743D20" w:rsidRPr="00743D20">
        <w:t xml:space="preserve">DMRS in mixed </w:t>
      </w:r>
      <w:r>
        <w:t xml:space="preserve">DL/UL </w:t>
      </w:r>
      <w:r w:rsidR="00743D20" w:rsidRPr="00743D20">
        <w:t>slots</w:t>
      </w:r>
    </w:p>
    <w:p w14:paraId="2692F67A" w14:textId="3370A0E2" w:rsidR="00743D20" w:rsidRDefault="00743D20" w:rsidP="00743D20">
      <w:pPr>
        <w:pStyle w:val="BodyText"/>
      </w:pPr>
      <w:r>
        <w:t xml:space="preserve">When considering slots with </w:t>
      </w:r>
      <w:r w:rsidR="006503E1">
        <w:t xml:space="preserve">a DL/UL switch, </w:t>
      </w:r>
      <w:r>
        <w:t>the locations of the UL DMRS symbols can in principle be aligned with the locations of the DL DMRS symbols. In DL though, the length of the PDCCH region will define the start of the DL DMRS which will not necessary be the case in UL where the start of the UL DMRS could be in the first OFDM symbol of the UL transmission.</w:t>
      </w:r>
    </w:p>
    <w:p w14:paraId="6F065E84" w14:textId="77777777" w:rsidR="00743D20" w:rsidRDefault="00743D20" w:rsidP="00743D20">
      <w:pPr>
        <w:pStyle w:val="BodyText"/>
      </w:pPr>
      <w:r>
        <w:t>Transmitting DMRS in the first OFDM symbol of the UL transmission could degrade the channel estimation if the transmit power ramping is not settled in advance to the presence of the DMRS. Evidently, poor channel estimates in the beginning of a slot would affect the whole demodulation of PUSCH. On the other hand, performance degradation could also be the case when transmitting PUSCH in the first OFDM symbol of the UL transmission when codewords are mapped in frequency first. Furthermore, there is also a PUSCH building processing time aspect with PUSCH in the first OFDM symbol of the UL transmission in latency critical applications, with an UL grant being valid for the same slot as the UE received the UL grant.</w:t>
      </w:r>
    </w:p>
    <w:p w14:paraId="6264D0A2" w14:textId="636862D4" w:rsidR="00743D20" w:rsidRDefault="00743D20" w:rsidP="00743D20">
      <w:pPr>
        <w:pStyle w:val="BodyText"/>
      </w:pPr>
      <w:r>
        <w:t xml:space="preserve">This transmit power ramping aspect is still under discussion in </w:t>
      </w:r>
      <w:r w:rsidR="00A67C2A">
        <w:t xml:space="preserve">RAN 4 </w:t>
      </w:r>
      <w:r>
        <w:t xml:space="preserve">but irrespectively of DMRS or PUSCH in the first symbol of an UL transmission there will be a performance impact with transmit power ramping affecting the UL transmission. With respect to this observation, we propose the following </w:t>
      </w:r>
    </w:p>
    <w:p w14:paraId="4B2963F5" w14:textId="04A457A2" w:rsidR="00743D20" w:rsidRPr="00743D20" w:rsidRDefault="00743D20" w:rsidP="00743D20">
      <w:pPr>
        <w:pStyle w:val="Proposal"/>
      </w:pPr>
      <w:bookmarkStart w:id="37" w:name="_Toc494352387"/>
      <w:bookmarkStart w:id="38" w:name="_Toc494352413"/>
      <w:bookmarkStart w:id="39" w:name="_Toc494356597"/>
      <w:bookmarkStart w:id="40" w:name="_Toc494356678"/>
      <w:bookmarkStart w:id="41" w:name="_Toc494368404"/>
      <w:bookmarkStart w:id="42" w:name="_Toc494370565"/>
      <w:bookmarkStart w:id="43" w:name="_Toc494391440"/>
      <w:bookmarkStart w:id="44" w:name="_Toc494713963"/>
      <w:bookmarkStart w:id="45" w:name="_Toc496599744"/>
      <w:bookmarkStart w:id="46" w:name="_Toc498716630"/>
      <w:r w:rsidRPr="00743D20">
        <w:t xml:space="preserve">In mixed </w:t>
      </w:r>
      <w:r w:rsidR="0058569E">
        <w:t xml:space="preserve">DL/UL </w:t>
      </w:r>
      <w:r w:rsidR="001B5A08">
        <w:t>slots where</w:t>
      </w:r>
      <w:r w:rsidR="00683685">
        <w:t xml:space="preserve"> </w:t>
      </w:r>
      <w:r w:rsidRPr="00743D20">
        <w:t>the first UL symbol contains the first front loaded DMRS symbol</w:t>
      </w:r>
      <w:r w:rsidR="001B5A08">
        <w:t xml:space="preserve"> only TDM between DMRS and PUSCH</w:t>
      </w:r>
      <w:bookmarkEnd w:id="37"/>
      <w:bookmarkEnd w:id="38"/>
      <w:bookmarkEnd w:id="39"/>
      <w:bookmarkEnd w:id="40"/>
      <w:bookmarkEnd w:id="41"/>
      <w:bookmarkEnd w:id="42"/>
      <w:bookmarkEnd w:id="43"/>
      <w:bookmarkEnd w:id="44"/>
      <w:bookmarkEnd w:id="45"/>
      <w:r w:rsidR="001B5A08">
        <w:t xml:space="preserve"> is supported.</w:t>
      </w:r>
      <w:bookmarkEnd w:id="46"/>
    </w:p>
    <w:p w14:paraId="6E365CF1" w14:textId="656AE54A" w:rsidR="00743D20" w:rsidRDefault="00454CD8" w:rsidP="00743D20">
      <w:r>
        <w:t xml:space="preserve">For </w:t>
      </w:r>
      <w:r w:rsidR="006F1FC1">
        <w:t>the</w:t>
      </w:r>
      <w:r w:rsidR="0058569E">
        <w:t xml:space="preserve"> 1+1 case</w:t>
      </w:r>
      <w:r>
        <w:t>, the proposed DMRS patterns in UL only slots can be reused</w:t>
      </w:r>
      <w:r w:rsidR="006F1FC1">
        <w:t xml:space="preserve"> for the mixed slots</w:t>
      </w:r>
      <w:r>
        <w:t xml:space="preserve">, </w:t>
      </w:r>
      <w:r w:rsidR="006F1FC1">
        <w:t>that is, the additional DMRS can be placed in symbol 11,9,7,5 relative to the front loaded DMRS symbol.</w:t>
      </w:r>
    </w:p>
    <w:p w14:paraId="58FC5D3B" w14:textId="6B88DE44" w:rsidR="0058569E" w:rsidRDefault="0058569E" w:rsidP="00743D20"/>
    <w:p w14:paraId="7CC3CA9D" w14:textId="6088B9C8" w:rsidR="0058569E" w:rsidRDefault="0058569E" w:rsidP="0058569E">
      <w:pPr>
        <w:pStyle w:val="Proposal"/>
      </w:pPr>
      <w:bookmarkStart w:id="47" w:name="_Toc494356598"/>
      <w:bookmarkStart w:id="48" w:name="_Toc494356679"/>
      <w:bookmarkStart w:id="49" w:name="_Toc494368405"/>
      <w:bookmarkStart w:id="50" w:name="_Toc494370566"/>
      <w:bookmarkStart w:id="51" w:name="_Toc494391441"/>
      <w:bookmarkStart w:id="52" w:name="_Toc494713964"/>
      <w:bookmarkStart w:id="53" w:name="_Toc496599745"/>
      <w:bookmarkStart w:id="54" w:name="_Toc498716631"/>
      <w:r>
        <w:t>For mixed DL/UL slots, the single additional DMRS can be placed in symbol 11,9,7,5 relative to the front loaded DMRS symbol and there is at least one and at most two PUSCH symbols after the additional DMRS except for PUSCH duration of 5 symbols or shorter.  See Figure 3 for patterns.</w:t>
      </w:r>
      <w:bookmarkEnd w:id="47"/>
      <w:bookmarkEnd w:id="48"/>
      <w:bookmarkEnd w:id="49"/>
      <w:bookmarkEnd w:id="50"/>
      <w:bookmarkEnd w:id="51"/>
      <w:bookmarkEnd w:id="52"/>
      <w:bookmarkEnd w:id="53"/>
      <w:bookmarkEnd w:id="54"/>
    </w:p>
    <w:p w14:paraId="58FACBCB" w14:textId="7D34C376" w:rsidR="006F1FC1" w:rsidRDefault="00616640" w:rsidP="006F1FC1">
      <w:pPr>
        <w:keepNext/>
      </w:pPr>
      <w:r w:rsidRPr="00616640">
        <w:lastRenderedPageBreak/>
        <w:t xml:space="preserve"> </w:t>
      </w:r>
      <w:r w:rsidR="005D3F5A" w:rsidRPr="005D3F5A">
        <w:rPr>
          <w:noProof/>
          <w:lang w:val="sv-SE"/>
        </w:rPr>
        <w:drawing>
          <wp:inline distT="0" distB="0" distL="0" distR="0" wp14:anchorId="1C59AC36" wp14:editId="1923DA89">
            <wp:extent cx="5943600" cy="35514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3551477"/>
                    </a:xfrm>
                    <a:prstGeom prst="rect">
                      <a:avLst/>
                    </a:prstGeom>
                    <a:noFill/>
                    <a:ln>
                      <a:noFill/>
                    </a:ln>
                  </pic:spPr>
                </pic:pic>
              </a:graphicData>
            </a:graphic>
          </wp:inline>
        </w:drawing>
      </w:r>
    </w:p>
    <w:p w14:paraId="04207C67" w14:textId="12556A43" w:rsidR="006F1FC1" w:rsidRDefault="006F1FC1" w:rsidP="006F1FC1">
      <w:pPr>
        <w:pStyle w:val="Caption"/>
        <w:jc w:val="both"/>
      </w:pPr>
      <w:r>
        <w:t xml:space="preserve">Figure </w:t>
      </w:r>
      <w:r>
        <w:fldChar w:fldCharType="begin"/>
      </w:r>
      <w:r>
        <w:instrText xml:space="preserve"> SEQ Figure \* ARABIC </w:instrText>
      </w:r>
      <w:r>
        <w:fldChar w:fldCharType="separate"/>
      </w:r>
      <w:r w:rsidR="00037459">
        <w:rPr>
          <w:noProof/>
        </w:rPr>
        <w:t>3</w:t>
      </w:r>
      <w:r>
        <w:fldChar w:fldCharType="end"/>
      </w:r>
      <w:r>
        <w:t xml:space="preserve"> PUSCH regions and placements of 1+1 DMRS in case of mixed slots where a non-UL region precedes the first OFDM symbol. </w:t>
      </w:r>
    </w:p>
    <w:p w14:paraId="3DBDD2A7" w14:textId="772533E5" w:rsidR="006F1FC1" w:rsidRDefault="00616640" w:rsidP="00743D20">
      <w:r>
        <w:t>In case of the high speed DMRS patterns 1+1+1, the DMRS pattern for UL in mixed slots can follow a simple rule:</w:t>
      </w:r>
    </w:p>
    <w:p w14:paraId="5DAE47C0" w14:textId="6E7E5F0B" w:rsidR="00616640" w:rsidRDefault="00616640" w:rsidP="00616640">
      <w:pPr>
        <w:pStyle w:val="Proposal"/>
      </w:pPr>
      <w:bookmarkStart w:id="55" w:name="_Toc494356599"/>
      <w:bookmarkStart w:id="56" w:name="_Toc494356680"/>
      <w:bookmarkStart w:id="57" w:name="_Toc494368406"/>
      <w:bookmarkStart w:id="58" w:name="_Toc494370567"/>
      <w:bookmarkStart w:id="59" w:name="_Toc494391442"/>
      <w:bookmarkStart w:id="60" w:name="_Toc494713965"/>
      <w:bookmarkStart w:id="61" w:name="_Toc496599746"/>
      <w:bookmarkStart w:id="62" w:name="_Toc498716632"/>
      <w:r>
        <w:t xml:space="preserve">In case 3 symbols is used for PUSCH in slots with mixed UL and DL, the DMRS is mapped </w:t>
      </w:r>
      <w:r w:rsidR="005D3F5A">
        <w:t xml:space="preserve">equally spaced in between the 1+1 patterns for </w:t>
      </w:r>
      <w:r w:rsidR="00264C20">
        <w:t>2</w:t>
      </w:r>
      <w:r w:rsidR="005D3F5A">
        <w:t xml:space="preserve"> symbols</w:t>
      </w:r>
      <w:r>
        <w:t>.</w:t>
      </w:r>
      <w:bookmarkEnd w:id="55"/>
      <w:bookmarkEnd w:id="56"/>
      <w:bookmarkEnd w:id="57"/>
      <w:bookmarkEnd w:id="58"/>
      <w:bookmarkEnd w:id="59"/>
      <w:bookmarkEnd w:id="60"/>
      <w:bookmarkEnd w:id="61"/>
      <w:bookmarkEnd w:id="62"/>
      <w:r w:rsidR="005D3F5A">
        <w:t xml:space="preserve"> </w:t>
      </w:r>
    </w:p>
    <w:p w14:paraId="453A6D09" w14:textId="77C04AD4" w:rsidR="00616640" w:rsidRDefault="00616640" w:rsidP="00743D20">
      <w:r>
        <w:t xml:space="preserve">This </w:t>
      </w:r>
      <w:r w:rsidR="005D3F5A">
        <w:t xml:space="preserve">design rule </w:t>
      </w:r>
      <w:r>
        <w:t>gives these</w:t>
      </w:r>
      <w:r w:rsidR="005D3F5A">
        <w:t xml:space="preserve"> supported</w:t>
      </w:r>
      <w:r>
        <w:t xml:space="preserve"> patterns:</w:t>
      </w:r>
    </w:p>
    <w:p w14:paraId="37BA01D9" w14:textId="77777777" w:rsidR="00DD2441" w:rsidRPr="008072ED" w:rsidRDefault="005D3F5A" w:rsidP="00264C20">
      <w:pPr>
        <w:keepNext/>
        <w:rPr>
          <w:noProof/>
          <w:lang w:val="en-US" w:eastAsia="sv-SE"/>
        </w:rPr>
      </w:pPr>
      <w:r w:rsidRPr="005D3F5A">
        <w:t xml:space="preserve"> </w:t>
      </w:r>
      <w:r>
        <w:t xml:space="preserve">                               </w:t>
      </w:r>
    </w:p>
    <w:p w14:paraId="76E48617" w14:textId="1F5C6C78" w:rsidR="00264C20" w:rsidRDefault="00264C20" w:rsidP="00DD2441">
      <w:pPr>
        <w:keepNext/>
        <w:jc w:val="center"/>
      </w:pPr>
      <w:r w:rsidRPr="00264C20">
        <w:rPr>
          <w:noProof/>
          <w:lang w:val="sv-SE"/>
        </w:rPr>
        <w:drawing>
          <wp:inline distT="0" distB="0" distL="0" distR="0" wp14:anchorId="36D9F29D" wp14:editId="0FABD9DD">
            <wp:extent cx="1723390" cy="1808136"/>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23820"/>
                    <a:stretch/>
                  </pic:blipFill>
                  <pic:spPr bwMode="auto">
                    <a:xfrm>
                      <a:off x="0" y="0"/>
                      <a:ext cx="1725042" cy="1809869"/>
                    </a:xfrm>
                    <a:prstGeom prst="rect">
                      <a:avLst/>
                    </a:prstGeom>
                    <a:noFill/>
                    <a:ln>
                      <a:noFill/>
                    </a:ln>
                    <a:extLst>
                      <a:ext uri="{53640926-AAD7-44D8-BBD7-CCE9431645EC}">
                        <a14:shadowObscured xmlns:a14="http://schemas.microsoft.com/office/drawing/2010/main"/>
                      </a:ext>
                    </a:extLst>
                  </pic:spPr>
                </pic:pic>
              </a:graphicData>
            </a:graphic>
          </wp:inline>
        </w:drawing>
      </w:r>
    </w:p>
    <w:p w14:paraId="3B5F6761" w14:textId="78002AE6" w:rsidR="00616640" w:rsidRPr="00743D20" w:rsidRDefault="00264C20" w:rsidP="00264C20">
      <w:pPr>
        <w:pStyle w:val="Caption"/>
        <w:jc w:val="both"/>
      </w:pPr>
      <w:r>
        <w:t xml:space="preserve">Figure </w:t>
      </w:r>
      <w:r>
        <w:fldChar w:fldCharType="begin"/>
      </w:r>
      <w:r>
        <w:instrText xml:space="preserve"> SEQ Figure \* ARABIC </w:instrText>
      </w:r>
      <w:r>
        <w:fldChar w:fldCharType="separate"/>
      </w:r>
      <w:r w:rsidR="00037459">
        <w:rPr>
          <w:noProof/>
        </w:rPr>
        <w:t>4</w:t>
      </w:r>
      <w:r>
        <w:fldChar w:fldCharType="end"/>
      </w:r>
      <w:r>
        <w:t xml:space="preserve"> PUSCH regions and placements of 1+1+1 DMRS in case of mixed slots where a non-UL region precedes the first OFDM symbol.</w:t>
      </w:r>
    </w:p>
    <w:p w14:paraId="32096766" w14:textId="4B11B454" w:rsidR="00743D20" w:rsidRDefault="00264C20" w:rsidP="00743D20">
      <w:r>
        <w:t>In case of the high speed DMRS patterns 1+1+1+1 in mixed slots, the DMRS pattern for UL in mixed slots can follow a simple rule:</w:t>
      </w:r>
    </w:p>
    <w:p w14:paraId="2FAF8BD7" w14:textId="7B14A8AD" w:rsidR="00264C20" w:rsidRDefault="00264C20" w:rsidP="00264C20">
      <w:pPr>
        <w:pStyle w:val="Proposal"/>
      </w:pPr>
      <w:bookmarkStart w:id="63" w:name="_Toc494356681"/>
      <w:bookmarkStart w:id="64" w:name="_Toc494368407"/>
      <w:bookmarkStart w:id="65" w:name="_Toc494370568"/>
      <w:bookmarkStart w:id="66" w:name="_Toc494391443"/>
      <w:bookmarkStart w:id="67" w:name="_Toc494713966"/>
      <w:bookmarkStart w:id="68" w:name="_Toc496599747"/>
      <w:bookmarkStart w:id="69" w:name="_Toc498716633"/>
      <w:r>
        <w:lastRenderedPageBreak/>
        <w:t>In case 4 symbols is used for PUSCH in slots with mixed UL and DL, the DMRS is mapped equally spaced</w:t>
      </w:r>
      <w:bookmarkEnd w:id="63"/>
      <w:r>
        <w:t xml:space="preserve"> </w:t>
      </w:r>
      <w:r w:rsidR="00C87A52">
        <w:t>with distance 3 symbols.</w:t>
      </w:r>
      <w:bookmarkEnd w:id="64"/>
      <w:bookmarkEnd w:id="65"/>
      <w:bookmarkEnd w:id="66"/>
      <w:bookmarkEnd w:id="67"/>
      <w:bookmarkEnd w:id="68"/>
      <w:bookmarkEnd w:id="69"/>
    </w:p>
    <w:p w14:paraId="013FDBDA" w14:textId="4C749097" w:rsidR="00264C20" w:rsidRDefault="00264C20" w:rsidP="00743D20">
      <w:r>
        <w:t>This rule gives these</w:t>
      </w:r>
      <w:r w:rsidR="00C87A52">
        <w:t xml:space="preserve"> supported</w:t>
      </w:r>
      <w:r>
        <w:t xml:space="preserve"> patterns:</w:t>
      </w:r>
    </w:p>
    <w:p w14:paraId="0D5E6A9E" w14:textId="77777777" w:rsidR="00121B0D" w:rsidRPr="00C130C1" w:rsidRDefault="00121B0D" w:rsidP="00264C20">
      <w:pPr>
        <w:keepNext/>
        <w:jc w:val="center"/>
        <w:rPr>
          <w:noProof/>
          <w:lang w:val="en-US" w:eastAsia="sv-SE"/>
        </w:rPr>
      </w:pPr>
    </w:p>
    <w:p w14:paraId="62711953" w14:textId="274E995E" w:rsidR="00264C20" w:rsidRDefault="00264C20" w:rsidP="00264C20">
      <w:pPr>
        <w:keepNext/>
        <w:jc w:val="center"/>
      </w:pPr>
      <w:r w:rsidRPr="00264C20">
        <w:rPr>
          <w:noProof/>
          <w:lang w:val="sv-SE"/>
        </w:rPr>
        <w:drawing>
          <wp:inline distT="0" distB="0" distL="0" distR="0" wp14:anchorId="071CEA16" wp14:editId="394B13B2">
            <wp:extent cx="1007110" cy="229244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23537"/>
                    <a:stretch/>
                  </pic:blipFill>
                  <pic:spPr bwMode="auto">
                    <a:xfrm rot="10800000" flipH="1">
                      <a:off x="0" y="0"/>
                      <a:ext cx="1014109" cy="2308372"/>
                    </a:xfrm>
                    <a:prstGeom prst="rect">
                      <a:avLst/>
                    </a:prstGeom>
                    <a:noFill/>
                    <a:ln>
                      <a:noFill/>
                    </a:ln>
                    <a:extLst>
                      <a:ext uri="{53640926-AAD7-44D8-BBD7-CCE9431645EC}">
                        <a14:shadowObscured xmlns:a14="http://schemas.microsoft.com/office/drawing/2010/main"/>
                      </a:ext>
                    </a:extLst>
                  </pic:spPr>
                </pic:pic>
              </a:graphicData>
            </a:graphic>
          </wp:inline>
        </w:drawing>
      </w:r>
    </w:p>
    <w:p w14:paraId="4463909B" w14:textId="68017D2C" w:rsidR="00264C20" w:rsidRDefault="00264C20" w:rsidP="00264C20">
      <w:pPr>
        <w:pStyle w:val="Caption"/>
      </w:pPr>
      <w:r>
        <w:t xml:space="preserve">Figure </w:t>
      </w:r>
      <w:r>
        <w:fldChar w:fldCharType="begin"/>
      </w:r>
      <w:r>
        <w:instrText xml:space="preserve"> SEQ Figure \* ARABIC </w:instrText>
      </w:r>
      <w:r>
        <w:fldChar w:fldCharType="separate"/>
      </w:r>
      <w:r w:rsidR="00037459">
        <w:rPr>
          <w:noProof/>
        </w:rPr>
        <w:t>5</w:t>
      </w:r>
      <w:r>
        <w:fldChar w:fldCharType="end"/>
      </w:r>
      <w:r>
        <w:t xml:space="preserve"> PUSCH regions and placements of 1+1+1+1 DMRS in case of mixed slots where a non-UL region precedes the first OFDM symbol.</w:t>
      </w:r>
    </w:p>
    <w:p w14:paraId="2CA9650B" w14:textId="77777777" w:rsidR="00AF4F16" w:rsidRPr="00F00494" w:rsidRDefault="00AF4F16" w:rsidP="00AF4F16"/>
    <w:p w14:paraId="14F87B40" w14:textId="03705538" w:rsidR="00743D20" w:rsidRDefault="00743D20" w:rsidP="00743D20">
      <w:pPr>
        <w:pStyle w:val="Heading2"/>
      </w:pPr>
      <w:r w:rsidRPr="00743D20">
        <w:t>Consideration of front-loaded DMRS and CFO estimation in UL</w:t>
      </w:r>
    </w:p>
    <w:p w14:paraId="1CA3073D" w14:textId="77777777" w:rsidR="00743D20" w:rsidRDefault="00743D20" w:rsidP="00743D20">
      <w:pPr>
        <w:pStyle w:val="BodyText"/>
        <w:rPr>
          <w:lang w:eastAsia="ja-JP"/>
        </w:rPr>
      </w:pPr>
      <w:r>
        <w:rPr>
          <w:lang w:eastAsia="ja-JP"/>
        </w:rPr>
        <w:t>In LTE, UL DMRS for PUSCH are always located in 4</w:t>
      </w:r>
      <w:r w:rsidRPr="008E6871">
        <w:rPr>
          <w:vertAlign w:val="superscript"/>
          <w:lang w:eastAsia="ja-JP"/>
        </w:rPr>
        <w:t>th</w:t>
      </w:r>
      <w:r>
        <w:rPr>
          <w:lang w:eastAsia="ja-JP"/>
        </w:rPr>
        <w:t xml:space="preserve"> and 11</w:t>
      </w:r>
      <w:r w:rsidRPr="008E6871">
        <w:rPr>
          <w:vertAlign w:val="superscript"/>
          <w:lang w:eastAsia="ja-JP"/>
        </w:rPr>
        <w:t>th</w:t>
      </w:r>
      <w:r>
        <w:rPr>
          <w:lang w:eastAsia="ja-JP"/>
        </w:rPr>
        <w:t xml:space="preserve"> symbol of a subframe which means that the base station can use DMRS for CFO estimation. However, in NR with the possibility to configure front-loaded UL DMRS only there will be a need to address CFO estimation in UL without imposing scheduling constraints.</w:t>
      </w:r>
    </w:p>
    <w:p w14:paraId="35597332" w14:textId="77777777" w:rsidR="00743D20" w:rsidRDefault="00743D20" w:rsidP="00743D20">
      <w:pPr>
        <w:pStyle w:val="BodyText"/>
        <w:rPr>
          <w:lang w:eastAsia="ja-JP"/>
        </w:rPr>
      </w:pPr>
      <w:r>
        <w:rPr>
          <w:lang w:eastAsia="ja-JP"/>
        </w:rPr>
        <w:t>One possibility to address this would be to configure UL PTRS also in sub-6 deployments with the property of being relatively sparse in time, sufficiently dense within the scheduled bandwidth and MCS independent. A major difference between CPE and CFO estimation is though the time scale for the need of compensating for the phase distortion; where the CPE may need to be compensated on a symbol level the CFO compensation can be done on a multiple frame level.</w:t>
      </w:r>
    </w:p>
    <w:p w14:paraId="43A51C4E" w14:textId="77777777" w:rsidR="00743D20" w:rsidRDefault="00743D20" w:rsidP="00743D20">
      <w:pPr>
        <w:pStyle w:val="BodyText"/>
        <w:rPr>
          <w:lang w:eastAsia="ja-JP"/>
        </w:rPr>
      </w:pPr>
      <w:r>
        <w:rPr>
          <w:lang w:eastAsia="ja-JP"/>
        </w:rPr>
        <w:t xml:space="preserve">By always including PTRS in a PUSCH transmission may thus lead to unnecessary overhead in sub-6 deployments. Instead of always including PTRS </w:t>
      </w:r>
      <w:r w:rsidRPr="00862A88">
        <w:rPr>
          <w:lang w:eastAsia="ja-JP"/>
        </w:rPr>
        <w:t>for CFO estimation</w:t>
      </w:r>
      <w:r>
        <w:rPr>
          <w:lang w:eastAsia="ja-JP"/>
        </w:rPr>
        <w:t xml:space="preserve">, the presence of PTRS could be triggered by the UL grant.  </w:t>
      </w:r>
    </w:p>
    <w:p w14:paraId="303BBFB1" w14:textId="77777777" w:rsidR="00743D20" w:rsidRDefault="00743D20" w:rsidP="00743D20">
      <w:pPr>
        <w:pStyle w:val="BodyText"/>
        <w:rPr>
          <w:lang w:eastAsia="ja-JP"/>
        </w:rPr>
      </w:pPr>
      <w:r>
        <w:rPr>
          <w:lang w:eastAsia="ja-JP"/>
        </w:rPr>
        <w:t>An alternative to trigger PTRS would be to trigger presence of additional DMRS, i.e. in addition to being configured with front-loaded DMRS a UE is also configured with a DMRS pattern that can be triggered to enable CFO estimation at the base station. This DMRS pattern could refer to an UL DMRS configuration that includes the front-loaded DMRS in conjunction with the additional DMRS.</w:t>
      </w:r>
    </w:p>
    <w:p w14:paraId="7F35BD97" w14:textId="77777777" w:rsidR="00743D20" w:rsidRDefault="00743D20" w:rsidP="00743D20">
      <w:pPr>
        <w:pStyle w:val="BodyText"/>
        <w:rPr>
          <w:lang w:eastAsia="ja-JP"/>
        </w:rPr>
      </w:pPr>
      <w:r>
        <w:rPr>
          <w:lang w:eastAsia="ja-JP"/>
        </w:rPr>
        <w:t xml:space="preserve">In the previous RAN1 though, the following working assumption was made with respect to DMRS for PUSCH: </w:t>
      </w:r>
    </w:p>
    <w:p w14:paraId="4BB75752" w14:textId="77777777" w:rsidR="00743D20" w:rsidRPr="00862A88" w:rsidRDefault="00743D20" w:rsidP="00743D20">
      <w:pPr>
        <w:pStyle w:val="BodyText"/>
        <w:numPr>
          <w:ilvl w:val="0"/>
          <w:numId w:val="20"/>
        </w:numPr>
        <w:overflowPunct/>
        <w:autoSpaceDE/>
        <w:autoSpaceDN/>
        <w:adjustRightInd/>
        <w:textAlignment w:val="auto"/>
        <w:rPr>
          <w:i/>
          <w:lang w:eastAsia="ja-JP"/>
        </w:rPr>
      </w:pPr>
      <w:r w:rsidRPr="00862A88">
        <w:rPr>
          <w:i/>
          <w:lang w:eastAsia="ja-JP"/>
        </w:rPr>
        <w:t xml:space="preserve">A UE is configured with the number of additional DMRS for PDSCH and as a </w:t>
      </w:r>
      <w:r w:rsidRPr="00862A88">
        <w:rPr>
          <w:i/>
          <w:u w:val="single"/>
          <w:lang w:eastAsia="ja-JP"/>
        </w:rPr>
        <w:t>working assumption</w:t>
      </w:r>
      <w:r w:rsidRPr="00862A88">
        <w:rPr>
          <w:i/>
          <w:lang w:eastAsia="ja-JP"/>
        </w:rPr>
        <w:t xml:space="preserve"> for PUSCH with the following signaling method:</w:t>
      </w:r>
    </w:p>
    <w:p w14:paraId="539DBC3B" w14:textId="77777777" w:rsidR="00743D20" w:rsidRPr="00862A88" w:rsidRDefault="00743D20" w:rsidP="00743D20">
      <w:pPr>
        <w:pStyle w:val="BodyText"/>
        <w:numPr>
          <w:ilvl w:val="1"/>
          <w:numId w:val="20"/>
        </w:numPr>
        <w:overflowPunct/>
        <w:autoSpaceDE/>
        <w:autoSpaceDN/>
        <w:adjustRightInd/>
        <w:textAlignment w:val="auto"/>
        <w:rPr>
          <w:i/>
          <w:lang w:eastAsia="ja-JP"/>
        </w:rPr>
      </w:pPr>
      <w:r w:rsidRPr="00862A88">
        <w:rPr>
          <w:i/>
          <w:lang w:eastAsia="ja-JP"/>
        </w:rPr>
        <w:t>By UE-specific higher layer signaling</w:t>
      </w:r>
    </w:p>
    <w:p w14:paraId="654AFC4C" w14:textId="77777777" w:rsidR="00743D20" w:rsidRDefault="00743D20" w:rsidP="00743D20">
      <w:pPr>
        <w:pStyle w:val="BodyText"/>
        <w:numPr>
          <w:ilvl w:val="1"/>
          <w:numId w:val="20"/>
        </w:numPr>
        <w:overflowPunct/>
        <w:autoSpaceDE/>
        <w:autoSpaceDN/>
        <w:adjustRightInd/>
        <w:textAlignment w:val="auto"/>
        <w:rPr>
          <w:lang w:eastAsia="ja-JP"/>
        </w:rPr>
      </w:pPr>
      <w:r w:rsidRPr="00862A88">
        <w:rPr>
          <w:i/>
          <w:lang w:eastAsia="ja-JP"/>
        </w:rPr>
        <w:t>For PUSCH, companies are encouraged to perform analysis/evaluations taking into account T/F sync impact particularly for front-loaded DM-RS</w:t>
      </w:r>
    </w:p>
    <w:p w14:paraId="08BDD9C9" w14:textId="69C47EAA" w:rsidR="00743D20" w:rsidRDefault="00743D20" w:rsidP="00743D20">
      <w:pPr>
        <w:pStyle w:val="BodyText"/>
        <w:rPr>
          <w:lang w:eastAsia="ja-JP"/>
        </w:rPr>
      </w:pPr>
      <w:r>
        <w:rPr>
          <w:lang w:eastAsia="ja-JP"/>
        </w:rPr>
        <w:t xml:space="preserve">Introducing a DCI based switching of the DMRS pattern for PUSCH </w:t>
      </w:r>
      <w:r w:rsidRPr="00363BF4">
        <w:rPr>
          <w:lang w:eastAsia="ja-JP"/>
        </w:rPr>
        <w:t>(</w:t>
      </w:r>
      <w:r>
        <w:rPr>
          <w:lang w:eastAsia="ja-JP"/>
        </w:rPr>
        <w:t>to assist T/F sync</w:t>
      </w:r>
      <w:r w:rsidRPr="00363BF4">
        <w:rPr>
          <w:lang w:eastAsia="ja-JP"/>
        </w:rPr>
        <w:t xml:space="preserve">) </w:t>
      </w:r>
      <w:r>
        <w:rPr>
          <w:lang w:eastAsia="ja-JP"/>
        </w:rPr>
        <w:t xml:space="preserve">means that the current working assumption above cannot be confirmed if additional DMRS is always present when configured by higher layer signaling. </w:t>
      </w:r>
    </w:p>
    <w:p w14:paraId="57D2BBC2" w14:textId="14EA8422" w:rsidR="003F62AF" w:rsidRDefault="003F62AF" w:rsidP="00743D20">
      <w:pPr>
        <w:pStyle w:val="BodyText"/>
        <w:rPr>
          <w:lang w:eastAsia="ja-JP"/>
        </w:rPr>
      </w:pPr>
    </w:p>
    <w:p w14:paraId="03DBB99D" w14:textId="73E7721F" w:rsidR="003F62AF" w:rsidRPr="005E6FAC" w:rsidRDefault="003F62AF" w:rsidP="005E6FAC">
      <w:pPr>
        <w:pStyle w:val="Proposal"/>
        <w:rPr>
          <w:i/>
          <w:lang w:eastAsia="ja-JP"/>
        </w:rPr>
      </w:pPr>
      <w:bookmarkStart w:id="70" w:name="_Toc498716634"/>
      <w:r>
        <w:rPr>
          <w:lang w:eastAsia="ja-JP"/>
        </w:rPr>
        <w:t xml:space="preserve">Working </w:t>
      </w:r>
      <w:r w:rsidRPr="005E6FAC">
        <w:rPr>
          <w:lang w:eastAsia="ja-JP"/>
        </w:rPr>
        <w:t>assumption</w:t>
      </w:r>
      <w:r w:rsidR="005E6FAC" w:rsidRPr="005E6FAC">
        <w:rPr>
          <w:lang w:eastAsia="ja-JP"/>
        </w:rPr>
        <w:t xml:space="preserve"> for PUSCH </w:t>
      </w:r>
      <w:r w:rsidR="005E6FAC">
        <w:rPr>
          <w:lang w:eastAsia="ja-JP"/>
        </w:rPr>
        <w:t>DMRS configuration of additional DMRS b</w:t>
      </w:r>
      <w:r w:rsidR="005E6FAC" w:rsidRPr="005E6FAC">
        <w:rPr>
          <w:lang w:eastAsia="ja-JP"/>
        </w:rPr>
        <w:t xml:space="preserve">y UE-specific higher layer signaling </w:t>
      </w:r>
      <w:r w:rsidRPr="005E6FAC">
        <w:rPr>
          <w:lang w:eastAsia="ja-JP"/>
        </w:rPr>
        <w:t>is</w:t>
      </w:r>
      <w:r>
        <w:rPr>
          <w:lang w:eastAsia="ja-JP"/>
        </w:rPr>
        <w:t xml:space="preserve"> rejected</w:t>
      </w:r>
      <w:bookmarkEnd w:id="70"/>
    </w:p>
    <w:p w14:paraId="44E5AA57" w14:textId="73F1702A" w:rsidR="00B9587A" w:rsidRDefault="00552E63" w:rsidP="00743D20">
      <w:pPr>
        <w:pStyle w:val="BodyText"/>
        <w:rPr>
          <w:lang w:eastAsia="ja-JP"/>
        </w:rPr>
      </w:pPr>
      <w:r>
        <w:t xml:space="preserve">In the </w:t>
      </w:r>
      <w:r w:rsidR="00B9587A">
        <w:t>simulations, we provide evidence that UL CFO is enable to cause serious performance degradation, which motivate</w:t>
      </w:r>
      <w:r>
        <w:t xml:space="preserve">s our proposal further. We </w:t>
      </w:r>
      <w:r w:rsidR="00B9587A">
        <w:t>evaluate</w:t>
      </w:r>
      <w:r>
        <w:t>d</w:t>
      </w:r>
      <w:r w:rsidR="00B9587A">
        <w:t xml:space="preserve"> the demodulation performance of the PUSCH transmission using only front-loaded DMRS</w:t>
      </w:r>
      <w:r w:rsidR="00A25540">
        <w:t xml:space="preserve"> (Type-1, 1-symbol DMRS)</w:t>
      </w:r>
      <w:r w:rsidR="00B9587A">
        <w:t>, as shown in the figure below, in the presence of CFO corresponding to 0%, 0.1%, 0.5%, and 1% of the subcarrier spacing</w:t>
      </w:r>
      <w:r w:rsidR="00A25540">
        <w:t xml:space="preserve"> (0, 15, 75, 150Hz)</w:t>
      </w:r>
      <w:r w:rsidR="00B9587A">
        <w:t>, respectively.</w:t>
      </w:r>
      <w:r w:rsidR="00D95869">
        <w:t xml:space="preserve"> The detailed simulation parameters are in the company </w:t>
      </w:r>
      <w:r w:rsidR="00D95869" w:rsidRPr="005E6FAC">
        <w:t>paper [</w:t>
      </w:r>
      <w:r w:rsidR="005E6FAC" w:rsidRPr="005E6FAC">
        <w:t>1</w:t>
      </w:r>
      <w:r w:rsidR="00D95869" w:rsidRPr="005E6FAC">
        <w:t>].</w:t>
      </w:r>
    </w:p>
    <w:p w14:paraId="2722980C" w14:textId="77777777" w:rsidR="00A25540" w:rsidRDefault="00A25540" w:rsidP="00A25540">
      <w:pPr>
        <w:jc w:val="center"/>
      </w:pPr>
      <w:r w:rsidRPr="00CD4924">
        <w:rPr>
          <w:noProof/>
          <w:lang w:val="sv-SE"/>
        </w:rPr>
        <w:drawing>
          <wp:inline distT="0" distB="0" distL="0" distR="0" wp14:anchorId="43BA9242" wp14:editId="029D8735">
            <wp:extent cx="6348300" cy="48196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74275" cy="4839370"/>
                    </a:xfrm>
                    <a:prstGeom prst="rect">
                      <a:avLst/>
                    </a:prstGeom>
                    <a:noFill/>
                    <a:ln>
                      <a:noFill/>
                    </a:ln>
                  </pic:spPr>
                </pic:pic>
              </a:graphicData>
            </a:graphic>
          </wp:inline>
        </w:drawing>
      </w:r>
    </w:p>
    <w:p w14:paraId="752FBEE0" w14:textId="567DFFDC" w:rsidR="00A25540" w:rsidRPr="001A7DB3" w:rsidRDefault="00A25540" w:rsidP="00A25540">
      <w:pPr>
        <w:pStyle w:val="Caption"/>
        <w:rPr>
          <w:lang w:val="en-US"/>
        </w:rPr>
      </w:pPr>
      <w:r w:rsidRPr="001A7DB3">
        <w:rPr>
          <w:lang w:val="en-US"/>
        </w:rPr>
        <w:t xml:space="preserve">Figure </w:t>
      </w:r>
      <w:r>
        <w:fldChar w:fldCharType="begin"/>
      </w:r>
      <w:r w:rsidRPr="001A7DB3">
        <w:rPr>
          <w:lang w:val="en-US"/>
        </w:rPr>
        <w:instrText xml:space="preserve"> SEQ Figure \* ARABIC </w:instrText>
      </w:r>
      <w:r>
        <w:fldChar w:fldCharType="separate"/>
      </w:r>
      <w:r w:rsidR="00037459">
        <w:rPr>
          <w:noProof/>
          <w:lang w:val="en-US"/>
        </w:rPr>
        <w:t>6</w:t>
      </w:r>
      <w:r>
        <w:fldChar w:fldCharType="end"/>
      </w:r>
      <w:r w:rsidRPr="001A7DB3">
        <w:rPr>
          <w:lang w:val="en-US"/>
        </w:rPr>
        <w:t xml:space="preserve"> BLER performance comparison with different CFO level</w:t>
      </w:r>
    </w:p>
    <w:p w14:paraId="50E69363" w14:textId="6A893C8F" w:rsidR="00B9587A" w:rsidRPr="00A25540" w:rsidRDefault="00A25540" w:rsidP="00743D20">
      <w:pPr>
        <w:pStyle w:val="BodyText"/>
        <w:rPr>
          <w:lang w:val="en-US" w:eastAsia="ja-JP"/>
        </w:rPr>
      </w:pPr>
      <w:r>
        <w:rPr>
          <w:lang w:val="en-US" w:eastAsia="ja-JP"/>
        </w:rPr>
        <w:t xml:space="preserve">We can observe that UL is sensitive to the CFO. Front-loaded DMRS is not sufficient for handling the frequency synchronization. </w:t>
      </w:r>
    </w:p>
    <w:p w14:paraId="58B1E898" w14:textId="77777777" w:rsidR="00743D20" w:rsidRDefault="00743D20" w:rsidP="00743D20">
      <w:pPr>
        <w:pStyle w:val="Proposal"/>
        <w:rPr>
          <w:lang w:eastAsia="ja-JP"/>
        </w:rPr>
      </w:pPr>
      <w:bookmarkStart w:id="71" w:name="_Toc494352391"/>
      <w:bookmarkStart w:id="72" w:name="_Toc494352417"/>
      <w:bookmarkStart w:id="73" w:name="_Toc494356600"/>
      <w:bookmarkStart w:id="74" w:name="_Toc494356682"/>
      <w:bookmarkStart w:id="75" w:name="_Toc494368409"/>
      <w:bookmarkStart w:id="76" w:name="_Toc494370571"/>
      <w:bookmarkStart w:id="77" w:name="_Toc494391446"/>
      <w:bookmarkStart w:id="78" w:name="_Toc494713969"/>
      <w:bookmarkStart w:id="79" w:name="_Toc496599750"/>
      <w:bookmarkStart w:id="80" w:name="_Toc498716635"/>
      <w:r>
        <w:rPr>
          <w:lang w:eastAsia="ja-JP"/>
        </w:rPr>
        <w:t>RAN1 should select one of the following options to assist CFO estimation in UL with front-loaded DMRS:</w:t>
      </w:r>
      <w:bookmarkEnd w:id="71"/>
      <w:bookmarkEnd w:id="72"/>
      <w:bookmarkEnd w:id="73"/>
      <w:bookmarkEnd w:id="74"/>
      <w:bookmarkEnd w:id="75"/>
      <w:bookmarkEnd w:id="76"/>
      <w:bookmarkEnd w:id="77"/>
      <w:bookmarkEnd w:id="78"/>
      <w:bookmarkEnd w:id="79"/>
      <w:bookmarkEnd w:id="80"/>
    </w:p>
    <w:p w14:paraId="42CC3A4C" w14:textId="38816FFC" w:rsidR="00743D20" w:rsidRDefault="00743D20" w:rsidP="00743D20">
      <w:pPr>
        <w:pStyle w:val="Proposal"/>
        <w:numPr>
          <w:ilvl w:val="0"/>
          <w:numId w:val="22"/>
        </w:numPr>
        <w:rPr>
          <w:lang w:eastAsia="ja-JP"/>
        </w:rPr>
      </w:pPr>
      <w:bookmarkStart w:id="81" w:name="_Toc494352392"/>
      <w:bookmarkStart w:id="82" w:name="_Toc494352418"/>
      <w:bookmarkStart w:id="83" w:name="_Toc494356601"/>
      <w:bookmarkStart w:id="84" w:name="_Toc494356683"/>
      <w:bookmarkStart w:id="85" w:name="_Toc494368410"/>
      <w:bookmarkStart w:id="86" w:name="_Toc494370572"/>
      <w:bookmarkStart w:id="87" w:name="_Toc494391447"/>
      <w:bookmarkStart w:id="88" w:name="_Toc494713970"/>
      <w:bookmarkStart w:id="89" w:name="_Toc496599751"/>
      <w:bookmarkStart w:id="90" w:name="_Toc498716636"/>
      <w:r>
        <w:rPr>
          <w:lang w:eastAsia="ja-JP"/>
        </w:rPr>
        <w:t>A UE can be configured with additional DMRS which presence can be dynamically indicated</w:t>
      </w:r>
      <w:bookmarkEnd w:id="81"/>
      <w:bookmarkEnd w:id="82"/>
      <w:bookmarkEnd w:id="83"/>
      <w:bookmarkEnd w:id="84"/>
      <w:bookmarkEnd w:id="85"/>
      <w:bookmarkEnd w:id="86"/>
      <w:bookmarkEnd w:id="87"/>
      <w:bookmarkEnd w:id="88"/>
      <w:bookmarkEnd w:id="89"/>
      <w:bookmarkEnd w:id="90"/>
    </w:p>
    <w:p w14:paraId="2FE545C9" w14:textId="77777777" w:rsidR="00743D20" w:rsidRDefault="00743D20" w:rsidP="00743D20">
      <w:pPr>
        <w:pStyle w:val="Proposal"/>
        <w:numPr>
          <w:ilvl w:val="0"/>
          <w:numId w:val="22"/>
        </w:numPr>
        <w:rPr>
          <w:lang w:eastAsia="ja-JP"/>
        </w:rPr>
      </w:pPr>
      <w:bookmarkStart w:id="91" w:name="_Toc494352393"/>
      <w:bookmarkStart w:id="92" w:name="_Toc494352419"/>
      <w:bookmarkStart w:id="93" w:name="_Toc494356602"/>
      <w:bookmarkStart w:id="94" w:name="_Toc494356684"/>
      <w:bookmarkStart w:id="95" w:name="_Toc494368411"/>
      <w:bookmarkStart w:id="96" w:name="_Toc494370573"/>
      <w:bookmarkStart w:id="97" w:name="_Toc494391448"/>
      <w:bookmarkStart w:id="98" w:name="_Toc494713971"/>
      <w:bookmarkStart w:id="99" w:name="_Toc496599752"/>
      <w:bookmarkStart w:id="100" w:name="_Toc498716637"/>
      <w:r>
        <w:rPr>
          <w:lang w:eastAsia="ja-JP"/>
        </w:rPr>
        <w:t>A UE can be configured with a PTRS pattern that does not depend on MCS and its presence can be dynamically indicated</w:t>
      </w:r>
      <w:bookmarkEnd w:id="91"/>
      <w:bookmarkEnd w:id="92"/>
      <w:bookmarkEnd w:id="93"/>
      <w:bookmarkEnd w:id="94"/>
      <w:bookmarkEnd w:id="95"/>
      <w:bookmarkEnd w:id="96"/>
      <w:bookmarkEnd w:id="97"/>
      <w:bookmarkEnd w:id="98"/>
      <w:bookmarkEnd w:id="99"/>
      <w:bookmarkEnd w:id="100"/>
    </w:p>
    <w:p w14:paraId="67385812" w14:textId="217D35B4" w:rsidR="00743D20" w:rsidRDefault="00743D20" w:rsidP="00743D20">
      <w:pPr>
        <w:pStyle w:val="Proposal"/>
        <w:numPr>
          <w:ilvl w:val="0"/>
          <w:numId w:val="22"/>
        </w:numPr>
        <w:rPr>
          <w:lang w:eastAsia="ja-JP"/>
        </w:rPr>
      </w:pPr>
      <w:bookmarkStart w:id="101" w:name="_Toc494352394"/>
      <w:bookmarkStart w:id="102" w:name="_Toc494352420"/>
      <w:bookmarkStart w:id="103" w:name="_Toc494356603"/>
      <w:bookmarkStart w:id="104" w:name="_Toc494356685"/>
      <w:bookmarkStart w:id="105" w:name="_Toc494368412"/>
      <w:bookmarkStart w:id="106" w:name="_Toc494370574"/>
      <w:bookmarkStart w:id="107" w:name="_Toc494391449"/>
      <w:bookmarkStart w:id="108" w:name="_Toc494713972"/>
      <w:bookmarkStart w:id="109" w:name="_Toc496599753"/>
      <w:bookmarkStart w:id="110" w:name="_Toc498716638"/>
      <w:r>
        <w:rPr>
          <w:lang w:eastAsia="ja-JP"/>
        </w:rPr>
        <w:lastRenderedPageBreak/>
        <w:t>A UE can be configured with a PTRS pattern that does not depend on MCS and is always transmitted in conjunction with PUSCH</w:t>
      </w:r>
      <w:bookmarkEnd w:id="101"/>
      <w:bookmarkEnd w:id="102"/>
      <w:bookmarkEnd w:id="103"/>
      <w:bookmarkEnd w:id="104"/>
      <w:bookmarkEnd w:id="105"/>
      <w:bookmarkEnd w:id="106"/>
      <w:bookmarkEnd w:id="107"/>
      <w:bookmarkEnd w:id="108"/>
      <w:bookmarkEnd w:id="109"/>
      <w:bookmarkEnd w:id="110"/>
    </w:p>
    <w:p w14:paraId="5B81FF40" w14:textId="77777777" w:rsidR="0074573B" w:rsidRPr="001B5A08" w:rsidRDefault="0074573B" w:rsidP="0074573B">
      <w:pPr>
        <w:pStyle w:val="Proposal"/>
        <w:numPr>
          <w:ilvl w:val="0"/>
          <w:numId w:val="0"/>
        </w:numPr>
        <w:ind w:left="1701" w:hanging="1701"/>
        <w:rPr>
          <w:lang w:val="en-US" w:eastAsia="ja-JP"/>
        </w:rPr>
      </w:pPr>
    </w:p>
    <w:p w14:paraId="76C164CB" w14:textId="19FC7A24" w:rsidR="00DF1FD5" w:rsidRDefault="00743D20" w:rsidP="00743D20">
      <w:pPr>
        <w:pStyle w:val="Heading1"/>
      </w:pPr>
      <w:r>
        <w:t>Antenna port mapping</w:t>
      </w:r>
      <w:r w:rsidR="00DF1FD5">
        <w:t xml:space="preserve"> </w:t>
      </w:r>
    </w:p>
    <w:p w14:paraId="349AC085" w14:textId="76C29D74" w:rsidR="001E3B2E" w:rsidRDefault="001E3B2E" w:rsidP="001E3B2E">
      <w:pPr>
        <w:rPr>
          <w:lang w:val="en-US"/>
        </w:rPr>
      </w:pPr>
      <w:r>
        <w:rPr>
          <w:lang w:val="en-US"/>
        </w:rPr>
        <w:t xml:space="preserve">In </w:t>
      </w:r>
      <w:r w:rsidR="00073113">
        <w:rPr>
          <w:lang w:val="en-US"/>
        </w:rPr>
        <w:t>previous</w:t>
      </w:r>
      <w:r>
        <w:rPr>
          <w:lang w:val="en-US"/>
        </w:rPr>
        <w:t xml:space="preserve"> meetings, a few restrictions on scheduling, mainly for MU-MIMO has been agreed in order to simplify the scope of the antenna port mapping table design. To simplify the design even further, we can restrict the number of co-scheduled users in MU-MIMO:</w:t>
      </w:r>
    </w:p>
    <w:p w14:paraId="37B98A95" w14:textId="754A0B27" w:rsidR="003F62AF" w:rsidRDefault="001E3B2E" w:rsidP="001B5A08">
      <w:pPr>
        <w:pStyle w:val="Proposal"/>
        <w:rPr>
          <w:lang w:val="en-US"/>
        </w:rPr>
      </w:pPr>
      <w:bookmarkStart w:id="111" w:name="_Toc498716639"/>
      <w:r>
        <w:rPr>
          <w:lang w:val="en-US"/>
        </w:rPr>
        <w:t>Support at most eight co-scheduled UEs in MU-MIMO</w:t>
      </w:r>
      <w:bookmarkEnd w:id="111"/>
    </w:p>
    <w:p w14:paraId="13822C19" w14:textId="4A780428" w:rsidR="00851CB6" w:rsidRDefault="00851CB6" w:rsidP="005E6FAC">
      <w:pPr>
        <w:pStyle w:val="Heading2"/>
        <w:rPr>
          <w:lang w:val="en-US"/>
        </w:rPr>
      </w:pPr>
      <w:r>
        <w:rPr>
          <w:lang w:val="en-US"/>
        </w:rPr>
        <w:t>Port mapping table for UL</w:t>
      </w:r>
      <w:r w:rsidR="00217957">
        <w:rPr>
          <w:lang w:val="en-US"/>
        </w:rPr>
        <w:t xml:space="preserve"> for DMRS configuration type 1</w:t>
      </w:r>
    </w:p>
    <w:p w14:paraId="5E30C6BA" w14:textId="77777777" w:rsidR="003D25EF" w:rsidRDefault="00851CB6" w:rsidP="00851CB6">
      <w:pPr>
        <w:rPr>
          <w:lang w:val="en-US"/>
        </w:rPr>
      </w:pPr>
      <w:r>
        <w:rPr>
          <w:lang w:val="en-US"/>
        </w:rPr>
        <w:t>For UL, the port mapping table can be designed taking into account the maximum 4 layer UL SU-MIMO and also the use of up to 8 or 12 ports respectively.</w:t>
      </w:r>
      <w:r w:rsidR="00217957">
        <w:rPr>
          <w:lang w:val="en-US"/>
        </w:rPr>
        <w:t xml:space="preserve"> The Antenna port table for DMRS type 1 is shown in Table 1 below including also PUSCH mapping to unused CDM group, or not, in case the ports only use the first CDM group. The PTRS mapping subcarrier us also given in this table depending on the used DMRS port. </w:t>
      </w:r>
    </w:p>
    <w:p w14:paraId="4109BE7C" w14:textId="38754A0B" w:rsidR="00851CB6" w:rsidRDefault="00217957" w:rsidP="00851CB6">
      <w:pPr>
        <w:rPr>
          <w:lang w:val="en-US"/>
        </w:rPr>
      </w:pPr>
      <w:r>
        <w:rPr>
          <w:lang w:val="en-US"/>
        </w:rPr>
        <w:t>Also, the ports using TD-OCC for port separation are not app</w:t>
      </w:r>
      <w:r w:rsidR="003D25EF">
        <w:rPr>
          <w:lang w:val="en-US"/>
        </w:rPr>
        <w:t xml:space="preserve">licable when PTRS is configured. </w:t>
      </w:r>
      <w:r>
        <w:rPr>
          <w:lang w:val="en-US"/>
        </w:rPr>
        <w:t xml:space="preserve"> </w:t>
      </w:r>
    </w:p>
    <w:p w14:paraId="06FD9231" w14:textId="2FE9982F" w:rsidR="00217957" w:rsidRDefault="00217957" w:rsidP="00217957">
      <w:pPr>
        <w:pStyle w:val="Caption"/>
        <w:keepNext/>
      </w:pPr>
      <w:r>
        <w:t xml:space="preserve">Table </w:t>
      </w:r>
      <w:r>
        <w:fldChar w:fldCharType="begin"/>
      </w:r>
      <w:r>
        <w:instrText xml:space="preserve"> SEQ Table \* ARABIC </w:instrText>
      </w:r>
      <w:r>
        <w:fldChar w:fldCharType="separate"/>
      </w:r>
      <w:r w:rsidR="00037459">
        <w:rPr>
          <w:noProof/>
        </w:rPr>
        <w:t>1</w:t>
      </w:r>
      <w:r>
        <w:fldChar w:fldCharType="end"/>
      </w:r>
      <w:r>
        <w:t xml:space="preserve"> Antenna port mapping table for PUSCH scheduling for type 1 DMRS</w:t>
      </w:r>
    </w:p>
    <w:tbl>
      <w:tblPr>
        <w:tblW w:w="6300" w:type="dxa"/>
        <w:jc w:val="center"/>
        <w:tblCellMar>
          <w:left w:w="70" w:type="dxa"/>
          <w:right w:w="70" w:type="dxa"/>
        </w:tblCellMar>
        <w:tblLook w:val="04A0" w:firstRow="1" w:lastRow="0" w:firstColumn="1" w:lastColumn="0" w:noHBand="0" w:noVBand="1"/>
      </w:tblPr>
      <w:tblGrid>
        <w:gridCol w:w="960"/>
        <w:gridCol w:w="660"/>
        <w:gridCol w:w="1800"/>
        <w:gridCol w:w="960"/>
        <w:gridCol w:w="960"/>
        <w:gridCol w:w="960"/>
      </w:tblGrid>
      <w:tr w:rsidR="00375695" w:rsidRPr="00375695" w14:paraId="3EAA901F" w14:textId="77777777" w:rsidTr="00375695">
        <w:trPr>
          <w:trHeight w:val="867"/>
          <w:jc w:val="center"/>
        </w:trPr>
        <w:tc>
          <w:tcPr>
            <w:tcW w:w="960" w:type="dxa"/>
            <w:tcBorders>
              <w:top w:val="single" w:sz="4" w:space="0" w:color="auto"/>
              <w:left w:val="single" w:sz="4" w:space="0" w:color="auto"/>
              <w:bottom w:val="single" w:sz="4" w:space="0" w:color="auto"/>
              <w:right w:val="single" w:sz="4" w:space="0" w:color="auto"/>
            </w:tcBorders>
            <w:shd w:val="clear" w:color="000000" w:fill="FFF2CC"/>
            <w:vAlign w:val="bottom"/>
            <w:hideMark/>
          </w:tcPr>
          <w:p w14:paraId="157143D7"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Table index</w:t>
            </w:r>
          </w:p>
        </w:tc>
        <w:tc>
          <w:tcPr>
            <w:tcW w:w="660" w:type="dxa"/>
            <w:tcBorders>
              <w:top w:val="single" w:sz="4" w:space="0" w:color="auto"/>
              <w:left w:val="nil"/>
              <w:bottom w:val="single" w:sz="4" w:space="0" w:color="auto"/>
              <w:right w:val="single" w:sz="4" w:space="0" w:color="auto"/>
            </w:tcBorders>
            <w:shd w:val="clear" w:color="000000" w:fill="FFF2CC"/>
            <w:vAlign w:val="bottom"/>
            <w:hideMark/>
          </w:tcPr>
          <w:p w14:paraId="35444BF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Rank</w:t>
            </w:r>
          </w:p>
        </w:tc>
        <w:tc>
          <w:tcPr>
            <w:tcW w:w="1800" w:type="dxa"/>
            <w:tcBorders>
              <w:top w:val="single" w:sz="4" w:space="0" w:color="auto"/>
              <w:left w:val="nil"/>
              <w:bottom w:val="single" w:sz="4" w:space="0" w:color="auto"/>
              <w:right w:val="single" w:sz="4" w:space="0" w:color="auto"/>
            </w:tcBorders>
            <w:shd w:val="clear" w:color="000000" w:fill="FFF2CC"/>
            <w:vAlign w:val="bottom"/>
            <w:hideMark/>
          </w:tcPr>
          <w:p w14:paraId="18226FA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DMRS port ID (+1000)</w:t>
            </w:r>
          </w:p>
        </w:tc>
        <w:tc>
          <w:tcPr>
            <w:tcW w:w="960" w:type="dxa"/>
            <w:tcBorders>
              <w:top w:val="single" w:sz="4" w:space="0" w:color="auto"/>
              <w:left w:val="nil"/>
              <w:bottom w:val="single" w:sz="4" w:space="0" w:color="auto"/>
              <w:right w:val="single" w:sz="4" w:space="0" w:color="auto"/>
            </w:tcBorders>
            <w:shd w:val="clear" w:color="000000" w:fill="FFF2CC"/>
            <w:vAlign w:val="bottom"/>
            <w:hideMark/>
          </w:tcPr>
          <w:p w14:paraId="7C218931"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en-US" w:eastAsia="sv-SE"/>
              </w:rPr>
            </w:pPr>
            <w:r w:rsidRPr="00375695">
              <w:rPr>
                <w:rFonts w:ascii="Calibri" w:hAnsi="Calibri"/>
                <w:color w:val="000000"/>
                <w:sz w:val="18"/>
                <w:szCs w:val="18"/>
                <w:lang w:val="en-US" w:eastAsia="sv-SE"/>
              </w:rPr>
              <w:t>Map PUSCH to other CDM group</w:t>
            </w:r>
          </w:p>
        </w:tc>
        <w:tc>
          <w:tcPr>
            <w:tcW w:w="960" w:type="dxa"/>
            <w:tcBorders>
              <w:top w:val="single" w:sz="4" w:space="0" w:color="auto"/>
              <w:left w:val="nil"/>
              <w:bottom w:val="single" w:sz="4" w:space="0" w:color="auto"/>
              <w:right w:val="single" w:sz="4" w:space="0" w:color="auto"/>
            </w:tcBorders>
            <w:shd w:val="clear" w:color="000000" w:fill="FFF2CC"/>
            <w:vAlign w:val="bottom"/>
            <w:hideMark/>
          </w:tcPr>
          <w:p w14:paraId="2D9919DC"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 FL symb</w:t>
            </w:r>
          </w:p>
        </w:tc>
        <w:tc>
          <w:tcPr>
            <w:tcW w:w="960" w:type="dxa"/>
            <w:tcBorders>
              <w:top w:val="single" w:sz="4" w:space="0" w:color="auto"/>
              <w:left w:val="nil"/>
              <w:bottom w:val="single" w:sz="4" w:space="0" w:color="auto"/>
              <w:right w:val="single" w:sz="4" w:space="0" w:color="auto"/>
            </w:tcBorders>
            <w:shd w:val="clear" w:color="000000" w:fill="FFF2CC"/>
            <w:vAlign w:val="bottom"/>
            <w:hideMark/>
          </w:tcPr>
          <w:p w14:paraId="6581C68A"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PTRS subcarrier k={0,..,11}</w:t>
            </w:r>
          </w:p>
        </w:tc>
      </w:tr>
      <w:tr w:rsidR="00375695" w:rsidRPr="00375695" w14:paraId="4A354FDD"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3067D5FF"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c>
          <w:tcPr>
            <w:tcW w:w="660" w:type="dxa"/>
            <w:tcBorders>
              <w:top w:val="nil"/>
              <w:left w:val="nil"/>
              <w:bottom w:val="single" w:sz="4" w:space="0" w:color="auto"/>
              <w:right w:val="single" w:sz="4" w:space="0" w:color="auto"/>
            </w:tcBorders>
            <w:shd w:val="clear" w:color="000000" w:fill="F2F2F2"/>
            <w:noWrap/>
            <w:vAlign w:val="bottom"/>
            <w:hideMark/>
          </w:tcPr>
          <w:p w14:paraId="1A895E39"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1800" w:type="dxa"/>
            <w:tcBorders>
              <w:top w:val="nil"/>
              <w:left w:val="nil"/>
              <w:bottom w:val="single" w:sz="4" w:space="0" w:color="auto"/>
              <w:right w:val="single" w:sz="4" w:space="0" w:color="auto"/>
            </w:tcBorders>
            <w:shd w:val="clear" w:color="000000" w:fill="F2F2F2"/>
            <w:noWrap/>
            <w:vAlign w:val="bottom"/>
            <w:hideMark/>
          </w:tcPr>
          <w:p w14:paraId="22F0683B"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c>
          <w:tcPr>
            <w:tcW w:w="960" w:type="dxa"/>
            <w:tcBorders>
              <w:top w:val="nil"/>
              <w:left w:val="nil"/>
              <w:bottom w:val="single" w:sz="4" w:space="0" w:color="auto"/>
              <w:right w:val="single" w:sz="4" w:space="0" w:color="auto"/>
            </w:tcBorders>
            <w:shd w:val="clear" w:color="000000" w:fill="F2F2F2"/>
            <w:noWrap/>
            <w:vAlign w:val="bottom"/>
            <w:hideMark/>
          </w:tcPr>
          <w:p w14:paraId="7BDB69C2"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Yes</w:t>
            </w:r>
          </w:p>
        </w:tc>
        <w:tc>
          <w:tcPr>
            <w:tcW w:w="960" w:type="dxa"/>
            <w:tcBorders>
              <w:top w:val="nil"/>
              <w:left w:val="nil"/>
              <w:bottom w:val="single" w:sz="4" w:space="0" w:color="auto"/>
              <w:right w:val="single" w:sz="4" w:space="0" w:color="auto"/>
            </w:tcBorders>
            <w:shd w:val="clear" w:color="000000" w:fill="F2F2F2"/>
            <w:noWrap/>
            <w:vAlign w:val="bottom"/>
            <w:hideMark/>
          </w:tcPr>
          <w:p w14:paraId="2B753EE0"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960" w:type="dxa"/>
            <w:tcBorders>
              <w:top w:val="nil"/>
              <w:left w:val="nil"/>
              <w:bottom w:val="single" w:sz="4" w:space="0" w:color="auto"/>
              <w:right w:val="single" w:sz="4" w:space="0" w:color="auto"/>
            </w:tcBorders>
            <w:shd w:val="clear" w:color="000000" w:fill="F2F2F2"/>
            <w:noWrap/>
            <w:vAlign w:val="bottom"/>
            <w:hideMark/>
          </w:tcPr>
          <w:p w14:paraId="4BF9D38B"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r>
      <w:tr w:rsidR="00375695" w:rsidRPr="00375695" w14:paraId="6F2D6812"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7A45BF5A"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660" w:type="dxa"/>
            <w:tcBorders>
              <w:top w:val="nil"/>
              <w:left w:val="nil"/>
              <w:bottom w:val="single" w:sz="4" w:space="0" w:color="auto"/>
              <w:right w:val="single" w:sz="4" w:space="0" w:color="auto"/>
            </w:tcBorders>
            <w:shd w:val="clear" w:color="000000" w:fill="F2F2F2"/>
            <w:noWrap/>
            <w:vAlign w:val="bottom"/>
            <w:hideMark/>
          </w:tcPr>
          <w:p w14:paraId="60CAD961"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1800" w:type="dxa"/>
            <w:tcBorders>
              <w:top w:val="nil"/>
              <w:left w:val="nil"/>
              <w:bottom w:val="single" w:sz="4" w:space="0" w:color="auto"/>
              <w:right w:val="single" w:sz="4" w:space="0" w:color="auto"/>
            </w:tcBorders>
            <w:shd w:val="clear" w:color="000000" w:fill="F2F2F2"/>
            <w:noWrap/>
            <w:vAlign w:val="bottom"/>
            <w:hideMark/>
          </w:tcPr>
          <w:p w14:paraId="6102377A"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c>
          <w:tcPr>
            <w:tcW w:w="960" w:type="dxa"/>
            <w:tcBorders>
              <w:top w:val="nil"/>
              <w:left w:val="nil"/>
              <w:bottom w:val="single" w:sz="4" w:space="0" w:color="auto"/>
              <w:right w:val="single" w:sz="4" w:space="0" w:color="auto"/>
            </w:tcBorders>
            <w:shd w:val="clear" w:color="000000" w:fill="F2F2F2"/>
            <w:noWrap/>
            <w:vAlign w:val="bottom"/>
            <w:hideMark/>
          </w:tcPr>
          <w:p w14:paraId="2D1729F9"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F2F2F2"/>
            <w:noWrap/>
            <w:vAlign w:val="bottom"/>
            <w:hideMark/>
          </w:tcPr>
          <w:p w14:paraId="6CB2097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960" w:type="dxa"/>
            <w:tcBorders>
              <w:top w:val="nil"/>
              <w:left w:val="nil"/>
              <w:bottom w:val="single" w:sz="4" w:space="0" w:color="auto"/>
              <w:right w:val="single" w:sz="4" w:space="0" w:color="auto"/>
            </w:tcBorders>
            <w:shd w:val="clear" w:color="000000" w:fill="F2F2F2"/>
            <w:noWrap/>
            <w:vAlign w:val="bottom"/>
            <w:hideMark/>
          </w:tcPr>
          <w:p w14:paraId="0521725F"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r>
      <w:tr w:rsidR="00375695" w:rsidRPr="00375695" w14:paraId="2B3D2585"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3BFE7845"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660" w:type="dxa"/>
            <w:tcBorders>
              <w:top w:val="nil"/>
              <w:left w:val="nil"/>
              <w:bottom w:val="single" w:sz="4" w:space="0" w:color="auto"/>
              <w:right w:val="single" w:sz="4" w:space="0" w:color="auto"/>
            </w:tcBorders>
            <w:shd w:val="clear" w:color="000000" w:fill="F2F2F2"/>
            <w:noWrap/>
            <w:vAlign w:val="bottom"/>
            <w:hideMark/>
          </w:tcPr>
          <w:p w14:paraId="2C58C11D"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1800" w:type="dxa"/>
            <w:tcBorders>
              <w:top w:val="nil"/>
              <w:left w:val="nil"/>
              <w:bottom w:val="single" w:sz="4" w:space="0" w:color="auto"/>
              <w:right w:val="single" w:sz="4" w:space="0" w:color="auto"/>
            </w:tcBorders>
            <w:shd w:val="clear" w:color="000000" w:fill="F2F2F2"/>
            <w:noWrap/>
            <w:vAlign w:val="bottom"/>
            <w:hideMark/>
          </w:tcPr>
          <w:p w14:paraId="63F54B67"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960" w:type="dxa"/>
            <w:tcBorders>
              <w:top w:val="nil"/>
              <w:left w:val="nil"/>
              <w:bottom w:val="single" w:sz="4" w:space="0" w:color="auto"/>
              <w:right w:val="single" w:sz="4" w:space="0" w:color="auto"/>
            </w:tcBorders>
            <w:shd w:val="clear" w:color="000000" w:fill="F2F2F2"/>
            <w:noWrap/>
            <w:vAlign w:val="bottom"/>
            <w:hideMark/>
          </w:tcPr>
          <w:p w14:paraId="545A8E66"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F2F2F2"/>
            <w:noWrap/>
            <w:vAlign w:val="bottom"/>
            <w:hideMark/>
          </w:tcPr>
          <w:p w14:paraId="3115D30B"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960" w:type="dxa"/>
            <w:tcBorders>
              <w:top w:val="nil"/>
              <w:left w:val="nil"/>
              <w:bottom w:val="single" w:sz="4" w:space="0" w:color="auto"/>
              <w:right w:val="single" w:sz="4" w:space="0" w:color="auto"/>
            </w:tcBorders>
            <w:shd w:val="clear" w:color="000000" w:fill="F2F2F2"/>
            <w:noWrap/>
            <w:vAlign w:val="bottom"/>
            <w:hideMark/>
          </w:tcPr>
          <w:p w14:paraId="2D4E2DBB"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r>
      <w:tr w:rsidR="00375695" w:rsidRPr="00375695" w14:paraId="70D95F6C"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63D516D6"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3</w:t>
            </w:r>
          </w:p>
        </w:tc>
        <w:tc>
          <w:tcPr>
            <w:tcW w:w="660" w:type="dxa"/>
            <w:tcBorders>
              <w:top w:val="nil"/>
              <w:left w:val="nil"/>
              <w:bottom w:val="single" w:sz="4" w:space="0" w:color="auto"/>
              <w:right w:val="single" w:sz="4" w:space="0" w:color="auto"/>
            </w:tcBorders>
            <w:shd w:val="clear" w:color="000000" w:fill="F2F2F2"/>
            <w:noWrap/>
            <w:vAlign w:val="bottom"/>
            <w:hideMark/>
          </w:tcPr>
          <w:p w14:paraId="00DA0070"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1800" w:type="dxa"/>
            <w:tcBorders>
              <w:top w:val="nil"/>
              <w:left w:val="nil"/>
              <w:bottom w:val="single" w:sz="4" w:space="0" w:color="auto"/>
              <w:right w:val="single" w:sz="4" w:space="0" w:color="auto"/>
            </w:tcBorders>
            <w:shd w:val="clear" w:color="000000" w:fill="F2F2F2"/>
            <w:noWrap/>
            <w:vAlign w:val="bottom"/>
            <w:hideMark/>
          </w:tcPr>
          <w:p w14:paraId="464F835B"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F2F2F2"/>
            <w:noWrap/>
            <w:vAlign w:val="bottom"/>
            <w:hideMark/>
          </w:tcPr>
          <w:p w14:paraId="736F1C8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F2F2F2"/>
            <w:noWrap/>
            <w:vAlign w:val="bottom"/>
            <w:hideMark/>
          </w:tcPr>
          <w:p w14:paraId="08A5CCD2"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960" w:type="dxa"/>
            <w:tcBorders>
              <w:top w:val="nil"/>
              <w:left w:val="nil"/>
              <w:bottom w:val="single" w:sz="4" w:space="0" w:color="auto"/>
              <w:right w:val="single" w:sz="4" w:space="0" w:color="auto"/>
            </w:tcBorders>
            <w:shd w:val="clear" w:color="000000" w:fill="F2F2F2"/>
            <w:noWrap/>
            <w:vAlign w:val="bottom"/>
            <w:hideMark/>
          </w:tcPr>
          <w:p w14:paraId="5BAF583F"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r>
      <w:tr w:rsidR="00375695" w:rsidRPr="00375695" w14:paraId="517A6F02"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5E2E99B5"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4</w:t>
            </w:r>
          </w:p>
        </w:tc>
        <w:tc>
          <w:tcPr>
            <w:tcW w:w="660" w:type="dxa"/>
            <w:tcBorders>
              <w:top w:val="nil"/>
              <w:left w:val="nil"/>
              <w:bottom w:val="single" w:sz="4" w:space="0" w:color="auto"/>
              <w:right w:val="single" w:sz="4" w:space="0" w:color="auto"/>
            </w:tcBorders>
            <w:shd w:val="clear" w:color="000000" w:fill="F2F2F2"/>
            <w:noWrap/>
            <w:vAlign w:val="bottom"/>
            <w:hideMark/>
          </w:tcPr>
          <w:p w14:paraId="3CCBAF1D"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1800" w:type="dxa"/>
            <w:tcBorders>
              <w:top w:val="nil"/>
              <w:left w:val="nil"/>
              <w:bottom w:val="single" w:sz="4" w:space="0" w:color="auto"/>
              <w:right w:val="single" w:sz="4" w:space="0" w:color="auto"/>
            </w:tcBorders>
            <w:shd w:val="clear" w:color="000000" w:fill="F2F2F2"/>
            <w:noWrap/>
            <w:vAlign w:val="bottom"/>
            <w:hideMark/>
          </w:tcPr>
          <w:p w14:paraId="6D09B6C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3</w:t>
            </w:r>
          </w:p>
        </w:tc>
        <w:tc>
          <w:tcPr>
            <w:tcW w:w="960" w:type="dxa"/>
            <w:tcBorders>
              <w:top w:val="nil"/>
              <w:left w:val="nil"/>
              <w:bottom w:val="single" w:sz="4" w:space="0" w:color="auto"/>
              <w:right w:val="single" w:sz="4" w:space="0" w:color="auto"/>
            </w:tcBorders>
            <w:shd w:val="clear" w:color="000000" w:fill="F2F2F2"/>
            <w:noWrap/>
            <w:vAlign w:val="bottom"/>
            <w:hideMark/>
          </w:tcPr>
          <w:p w14:paraId="28B53EC4"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F2F2F2"/>
            <w:noWrap/>
            <w:vAlign w:val="bottom"/>
            <w:hideMark/>
          </w:tcPr>
          <w:p w14:paraId="4C35BCA5"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960" w:type="dxa"/>
            <w:tcBorders>
              <w:top w:val="nil"/>
              <w:left w:val="nil"/>
              <w:bottom w:val="single" w:sz="4" w:space="0" w:color="auto"/>
              <w:right w:val="single" w:sz="4" w:space="0" w:color="auto"/>
            </w:tcBorders>
            <w:shd w:val="clear" w:color="000000" w:fill="F2F2F2"/>
            <w:noWrap/>
            <w:vAlign w:val="bottom"/>
            <w:hideMark/>
          </w:tcPr>
          <w:p w14:paraId="4492DECE"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3</w:t>
            </w:r>
          </w:p>
        </w:tc>
      </w:tr>
      <w:tr w:rsidR="00375695" w:rsidRPr="00375695" w14:paraId="3150FFBA"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6101885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5</w:t>
            </w:r>
          </w:p>
        </w:tc>
        <w:tc>
          <w:tcPr>
            <w:tcW w:w="660" w:type="dxa"/>
            <w:tcBorders>
              <w:top w:val="nil"/>
              <w:left w:val="nil"/>
              <w:bottom w:val="single" w:sz="4" w:space="0" w:color="auto"/>
              <w:right w:val="single" w:sz="4" w:space="0" w:color="auto"/>
            </w:tcBorders>
            <w:shd w:val="clear" w:color="000000" w:fill="F2F2F2"/>
            <w:noWrap/>
            <w:vAlign w:val="bottom"/>
            <w:hideMark/>
          </w:tcPr>
          <w:p w14:paraId="12D7C7E0"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1800" w:type="dxa"/>
            <w:tcBorders>
              <w:top w:val="nil"/>
              <w:left w:val="nil"/>
              <w:bottom w:val="single" w:sz="4" w:space="0" w:color="auto"/>
              <w:right w:val="single" w:sz="4" w:space="0" w:color="auto"/>
            </w:tcBorders>
            <w:shd w:val="clear" w:color="000000" w:fill="F2F2F2"/>
            <w:noWrap/>
            <w:vAlign w:val="bottom"/>
            <w:hideMark/>
          </w:tcPr>
          <w:p w14:paraId="7B1B892E"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0,1</w:t>
            </w:r>
          </w:p>
        </w:tc>
        <w:tc>
          <w:tcPr>
            <w:tcW w:w="960" w:type="dxa"/>
            <w:tcBorders>
              <w:top w:val="nil"/>
              <w:left w:val="nil"/>
              <w:bottom w:val="single" w:sz="4" w:space="0" w:color="auto"/>
              <w:right w:val="single" w:sz="4" w:space="0" w:color="auto"/>
            </w:tcBorders>
            <w:shd w:val="clear" w:color="000000" w:fill="F2F2F2"/>
            <w:noWrap/>
            <w:vAlign w:val="bottom"/>
            <w:hideMark/>
          </w:tcPr>
          <w:p w14:paraId="6A6A9B60"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Yes</w:t>
            </w:r>
          </w:p>
        </w:tc>
        <w:tc>
          <w:tcPr>
            <w:tcW w:w="960" w:type="dxa"/>
            <w:tcBorders>
              <w:top w:val="nil"/>
              <w:left w:val="nil"/>
              <w:bottom w:val="single" w:sz="4" w:space="0" w:color="auto"/>
              <w:right w:val="single" w:sz="4" w:space="0" w:color="auto"/>
            </w:tcBorders>
            <w:shd w:val="clear" w:color="000000" w:fill="F2F2F2"/>
            <w:noWrap/>
            <w:vAlign w:val="bottom"/>
            <w:hideMark/>
          </w:tcPr>
          <w:p w14:paraId="16D7A0D9"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960" w:type="dxa"/>
            <w:tcBorders>
              <w:top w:val="nil"/>
              <w:left w:val="nil"/>
              <w:bottom w:val="single" w:sz="4" w:space="0" w:color="auto"/>
              <w:right w:val="single" w:sz="4" w:space="0" w:color="auto"/>
            </w:tcBorders>
            <w:shd w:val="clear" w:color="000000" w:fill="F2F2F2"/>
            <w:noWrap/>
            <w:vAlign w:val="bottom"/>
            <w:hideMark/>
          </w:tcPr>
          <w:p w14:paraId="694258AE"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r>
      <w:tr w:rsidR="00375695" w:rsidRPr="00375695" w14:paraId="47D4DCFD" w14:textId="77777777" w:rsidTr="00375695">
        <w:trPr>
          <w:trHeight w:val="315"/>
          <w:jc w:val="center"/>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0B6F475C"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6</w:t>
            </w:r>
          </w:p>
        </w:tc>
        <w:tc>
          <w:tcPr>
            <w:tcW w:w="660" w:type="dxa"/>
            <w:tcBorders>
              <w:top w:val="nil"/>
              <w:left w:val="nil"/>
              <w:bottom w:val="single" w:sz="4" w:space="0" w:color="auto"/>
              <w:right w:val="single" w:sz="4" w:space="0" w:color="auto"/>
            </w:tcBorders>
            <w:shd w:val="clear" w:color="000000" w:fill="F2F2F2"/>
            <w:noWrap/>
            <w:vAlign w:val="bottom"/>
            <w:hideMark/>
          </w:tcPr>
          <w:p w14:paraId="47113E28"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1800" w:type="dxa"/>
            <w:tcBorders>
              <w:top w:val="nil"/>
              <w:left w:val="nil"/>
              <w:bottom w:val="single" w:sz="4" w:space="0" w:color="auto"/>
              <w:right w:val="single" w:sz="4" w:space="0" w:color="auto"/>
            </w:tcBorders>
            <w:shd w:val="clear" w:color="000000" w:fill="F2F2F2"/>
            <w:noWrap/>
            <w:vAlign w:val="bottom"/>
            <w:hideMark/>
          </w:tcPr>
          <w:p w14:paraId="7B8A6509"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0,1</w:t>
            </w:r>
          </w:p>
        </w:tc>
        <w:tc>
          <w:tcPr>
            <w:tcW w:w="960" w:type="dxa"/>
            <w:tcBorders>
              <w:top w:val="nil"/>
              <w:left w:val="nil"/>
              <w:bottom w:val="single" w:sz="4" w:space="0" w:color="auto"/>
              <w:right w:val="single" w:sz="4" w:space="0" w:color="auto"/>
            </w:tcBorders>
            <w:shd w:val="clear" w:color="000000" w:fill="F2F2F2"/>
            <w:noWrap/>
            <w:vAlign w:val="bottom"/>
            <w:hideMark/>
          </w:tcPr>
          <w:p w14:paraId="075308AD"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F2F2F2"/>
            <w:noWrap/>
            <w:vAlign w:val="bottom"/>
            <w:hideMark/>
          </w:tcPr>
          <w:p w14:paraId="178098CF"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960" w:type="dxa"/>
            <w:tcBorders>
              <w:top w:val="nil"/>
              <w:left w:val="nil"/>
              <w:bottom w:val="single" w:sz="4" w:space="0" w:color="auto"/>
              <w:right w:val="single" w:sz="4" w:space="0" w:color="auto"/>
            </w:tcBorders>
            <w:shd w:val="clear" w:color="000000" w:fill="F2F2F2"/>
            <w:noWrap/>
            <w:vAlign w:val="bottom"/>
            <w:hideMark/>
          </w:tcPr>
          <w:p w14:paraId="3B730D60"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r>
      <w:tr w:rsidR="00375695" w:rsidRPr="00375695" w14:paraId="4CCD4FAF"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4C2EA9D4"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7</w:t>
            </w:r>
          </w:p>
        </w:tc>
        <w:tc>
          <w:tcPr>
            <w:tcW w:w="660" w:type="dxa"/>
            <w:tcBorders>
              <w:top w:val="nil"/>
              <w:left w:val="nil"/>
              <w:bottom w:val="single" w:sz="4" w:space="0" w:color="auto"/>
              <w:right w:val="single" w:sz="4" w:space="0" w:color="auto"/>
            </w:tcBorders>
            <w:shd w:val="clear" w:color="000000" w:fill="F2F2F2"/>
            <w:noWrap/>
            <w:vAlign w:val="bottom"/>
            <w:hideMark/>
          </w:tcPr>
          <w:p w14:paraId="353614A4"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1800" w:type="dxa"/>
            <w:tcBorders>
              <w:top w:val="nil"/>
              <w:left w:val="nil"/>
              <w:bottom w:val="single" w:sz="4" w:space="0" w:color="auto"/>
              <w:right w:val="single" w:sz="4" w:space="0" w:color="auto"/>
            </w:tcBorders>
            <w:shd w:val="clear" w:color="000000" w:fill="F2F2F2"/>
            <w:noWrap/>
            <w:vAlign w:val="bottom"/>
            <w:hideMark/>
          </w:tcPr>
          <w:p w14:paraId="76C29D42"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2,3</w:t>
            </w:r>
          </w:p>
        </w:tc>
        <w:tc>
          <w:tcPr>
            <w:tcW w:w="960" w:type="dxa"/>
            <w:tcBorders>
              <w:top w:val="nil"/>
              <w:left w:val="nil"/>
              <w:bottom w:val="single" w:sz="4" w:space="0" w:color="auto"/>
              <w:right w:val="single" w:sz="4" w:space="0" w:color="auto"/>
            </w:tcBorders>
            <w:shd w:val="clear" w:color="000000" w:fill="F2F2F2"/>
            <w:noWrap/>
            <w:vAlign w:val="bottom"/>
            <w:hideMark/>
          </w:tcPr>
          <w:p w14:paraId="2317EA55"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F2F2F2"/>
            <w:noWrap/>
            <w:vAlign w:val="bottom"/>
            <w:hideMark/>
          </w:tcPr>
          <w:p w14:paraId="6785945F"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960" w:type="dxa"/>
            <w:tcBorders>
              <w:top w:val="nil"/>
              <w:left w:val="nil"/>
              <w:bottom w:val="single" w:sz="4" w:space="0" w:color="auto"/>
              <w:right w:val="single" w:sz="4" w:space="0" w:color="auto"/>
            </w:tcBorders>
            <w:shd w:val="clear" w:color="000000" w:fill="F2F2F2"/>
            <w:noWrap/>
            <w:vAlign w:val="bottom"/>
            <w:hideMark/>
          </w:tcPr>
          <w:p w14:paraId="0A99E405"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r>
      <w:tr w:rsidR="00375695" w:rsidRPr="00375695" w14:paraId="05C3AA52"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7B76CB6E"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8</w:t>
            </w:r>
          </w:p>
        </w:tc>
        <w:tc>
          <w:tcPr>
            <w:tcW w:w="660" w:type="dxa"/>
            <w:tcBorders>
              <w:top w:val="nil"/>
              <w:left w:val="nil"/>
              <w:bottom w:val="single" w:sz="4" w:space="0" w:color="auto"/>
              <w:right w:val="single" w:sz="4" w:space="0" w:color="auto"/>
            </w:tcBorders>
            <w:shd w:val="clear" w:color="000000" w:fill="F2F2F2"/>
            <w:noWrap/>
            <w:vAlign w:val="bottom"/>
            <w:hideMark/>
          </w:tcPr>
          <w:p w14:paraId="17673985"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1800" w:type="dxa"/>
            <w:tcBorders>
              <w:top w:val="nil"/>
              <w:left w:val="nil"/>
              <w:bottom w:val="single" w:sz="4" w:space="0" w:color="auto"/>
              <w:right w:val="single" w:sz="4" w:space="0" w:color="auto"/>
            </w:tcBorders>
            <w:shd w:val="clear" w:color="000000" w:fill="F2F2F2"/>
            <w:noWrap/>
            <w:vAlign w:val="bottom"/>
            <w:hideMark/>
          </w:tcPr>
          <w:p w14:paraId="6E164ED9"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0,2</w:t>
            </w:r>
          </w:p>
        </w:tc>
        <w:tc>
          <w:tcPr>
            <w:tcW w:w="960" w:type="dxa"/>
            <w:tcBorders>
              <w:top w:val="nil"/>
              <w:left w:val="nil"/>
              <w:bottom w:val="single" w:sz="4" w:space="0" w:color="auto"/>
              <w:right w:val="single" w:sz="4" w:space="0" w:color="auto"/>
            </w:tcBorders>
            <w:shd w:val="clear" w:color="000000" w:fill="F2F2F2"/>
            <w:noWrap/>
            <w:vAlign w:val="bottom"/>
            <w:hideMark/>
          </w:tcPr>
          <w:p w14:paraId="68DBC920"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N/A</w:t>
            </w:r>
          </w:p>
        </w:tc>
        <w:tc>
          <w:tcPr>
            <w:tcW w:w="960" w:type="dxa"/>
            <w:tcBorders>
              <w:top w:val="nil"/>
              <w:left w:val="nil"/>
              <w:bottom w:val="single" w:sz="4" w:space="0" w:color="auto"/>
              <w:right w:val="single" w:sz="4" w:space="0" w:color="auto"/>
            </w:tcBorders>
            <w:shd w:val="clear" w:color="000000" w:fill="F2F2F2"/>
            <w:noWrap/>
            <w:vAlign w:val="bottom"/>
            <w:hideMark/>
          </w:tcPr>
          <w:p w14:paraId="52BFB8D9"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960" w:type="dxa"/>
            <w:tcBorders>
              <w:top w:val="nil"/>
              <w:left w:val="nil"/>
              <w:bottom w:val="single" w:sz="4" w:space="0" w:color="auto"/>
              <w:right w:val="single" w:sz="4" w:space="0" w:color="auto"/>
            </w:tcBorders>
            <w:shd w:val="clear" w:color="000000" w:fill="F2F2F2"/>
            <w:noWrap/>
            <w:vAlign w:val="bottom"/>
            <w:hideMark/>
          </w:tcPr>
          <w:p w14:paraId="2023501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r>
      <w:tr w:rsidR="00375695" w:rsidRPr="00375695" w14:paraId="79BA3476"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3E69AEDB"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9</w:t>
            </w:r>
          </w:p>
        </w:tc>
        <w:tc>
          <w:tcPr>
            <w:tcW w:w="660" w:type="dxa"/>
            <w:tcBorders>
              <w:top w:val="nil"/>
              <w:left w:val="nil"/>
              <w:bottom w:val="single" w:sz="4" w:space="0" w:color="auto"/>
              <w:right w:val="single" w:sz="4" w:space="0" w:color="auto"/>
            </w:tcBorders>
            <w:shd w:val="clear" w:color="000000" w:fill="F2F2F2"/>
            <w:noWrap/>
            <w:vAlign w:val="bottom"/>
            <w:hideMark/>
          </w:tcPr>
          <w:p w14:paraId="7765E1B2"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3</w:t>
            </w:r>
          </w:p>
        </w:tc>
        <w:tc>
          <w:tcPr>
            <w:tcW w:w="1800" w:type="dxa"/>
            <w:tcBorders>
              <w:top w:val="nil"/>
              <w:left w:val="nil"/>
              <w:bottom w:val="single" w:sz="4" w:space="0" w:color="auto"/>
              <w:right w:val="single" w:sz="4" w:space="0" w:color="auto"/>
            </w:tcBorders>
            <w:shd w:val="clear" w:color="000000" w:fill="F2F2F2"/>
            <w:noWrap/>
            <w:vAlign w:val="bottom"/>
            <w:hideMark/>
          </w:tcPr>
          <w:p w14:paraId="1A905736"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0,1,2</w:t>
            </w:r>
          </w:p>
        </w:tc>
        <w:tc>
          <w:tcPr>
            <w:tcW w:w="960" w:type="dxa"/>
            <w:tcBorders>
              <w:top w:val="nil"/>
              <w:left w:val="nil"/>
              <w:bottom w:val="single" w:sz="4" w:space="0" w:color="auto"/>
              <w:right w:val="single" w:sz="4" w:space="0" w:color="auto"/>
            </w:tcBorders>
            <w:shd w:val="clear" w:color="000000" w:fill="F2F2F2"/>
            <w:noWrap/>
            <w:vAlign w:val="bottom"/>
            <w:hideMark/>
          </w:tcPr>
          <w:p w14:paraId="2E6E7BAC"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N/A</w:t>
            </w:r>
          </w:p>
        </w:tc>
        <w:tc>
          <w:tcPr>
            <w:tcW w:w="960" w:type="dxa"/>
            <w:tcBorders>
              <w:top w:val="nil"/>
              <w:left w:val="nil"/>
              <w:bottom w:val="single" w:sz="4" w:space="0" w:color="auto"/>
              <w:right w:val="single" w:sz="4" w:space="0" w:color="auto"/>
            </w:tcBorders>
            <w:shd w:val="clear" w:color="000000" w:fill="F2F2F2"/>
            <w:noWrap/>
            <w:vAlign w:val="bottom"/>
            <w:hideMark/>
          </w:tcPr>
          <w:p w14:paraId="5F8B5325"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960" w:type="dxa"/>
            <w:tcBorders>
              <w:top w:val="nil"/>
              <w:left w:val="nil"/>
              <w:bottom w:val="single" w:sz="4" w:space="0" w:color="auto"/>
              <w:right w:val="single" w:sz="4" w:space="0" w:color="auto"/>
            </w:tcBorders>
            <w:shd w:val="clear" w:color="000000" w:fill="F2F2F2"/>
            <w:noWrap/>
            <w:vAlign w:val="bottom"/>
            <w:hideMark/>
          </w:tcPr>
          <w:p w14:paraId="7F018E3A"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r>
      <w:tr w:rsidR="00375695" w:rsidRPr="00375695" w14:paraId="61E20E98" w14:textId="77777777" w:rsidTr="00375695">
        <w:trPr>
          <w:trHeight w:val="315"/>
          <w:jc w:val="center"/>
        </w:trPr>
        <w:tc>
          <w:tcPr>
            <w:tcW w:w="960" w:type="dxa"/>
            <w:tcBorders>
              <w:top w:val="nil"/>
              <w:left w:val="single" w:sz="4" w:space="0" w:color="auto"/>
              <w:bottom w:val="double" w:sz="6" w:space="0" w:color="auto"/>
              <w:right w:val="single" w:sz="4" w:space="0" w:color="auto"/>
            </w:tcBorders>
            <w:shd w:val="clear" w:color="000000" w:fill="F2F2F2"/>
            <w:noWrap/>
            <w:vAlign w:val="bottom"/>
            <w:hideMark/>
          </w:tcPr>
          <w:p w14:paraId="777B9A8F"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10</w:t>
            </w:r>
          </w:p>
        </w:tc>
        <w:tc>
          <w:tcPr>
            <w:tcW w:w="660" w:type="dxa"/>
            <w:tcBorders>
              <w:top w:val="nil"/>
              <w:left w:val="nil"/>
              <w:bottom w:val="double" w:sz="6" w:space="0" w:color="auto"/>
              <w:right w:val="single" w:sz="4" w:space="0" w:color="auto"/>
            </w:tcBorders>
            <w:shd w:val="clear" w:color="000000" w:fill="F2F2F2"/>
            <w:noWrap/>
            <w:vAlign w:val="bottom"/>
            <w:hideMark/>
          </w:tcPr>
          <w:p w14:paraId="5BE55E5A"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4</w:t>
            </w:r>
          </w:p>
        </w:tc>
        <w:tc>
          <w:tcPr>
            <w:tcW w:w="1800" w:type="dxa"/>
            <w:tcBorders>
              <w:top w:val="nil"/>
              <w:left w:val="nil"/>
              <w:bottom w:val="double" w:sz="6" w:space="0" w:color="auto"/>
              <w:right w:val="single" w:sz="4" w:space="0" w:color="auto"/>
            </w:tcBorders>
            <w:shd w:val="clear" w:color="000000" w:fill="F2F2F2"/>
            <w:noWrap/>
            <w:vAlign w:val="bottom"/>
            <w:hideMark/>
          </w:tcPr>
          <w:p w14:paraId="09618D06"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0,1,2,3</w:t>
            </w:r>
          </w:p>
        </w:tc>
        <w:tc>
          <w:tcPr>
            <w:tcW w:w="960" w:type="dxa"/>
            <w:tcBorders>
              <w:top w:val="nil"/>
              <w:left w:val="nil"/>
              <w:bottom w:val="double" w:sz="6" w:space="0" w:color="auto"/>
              <w:right w:val="single" w:sz="4" w:space="0" w:color="auto"/>
            </w:tcBorders>
            <w:shd w:val="clear" w:color="000000" w:fill="F2F2F2"/>
            <w:noWrap/>
            <w:vAlign w:val="bottom"/>
            <w:hideMark/>
          </w:tcPr>
          <w:p w14:paraId="7E6BC8FC"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N/A</w:t>
            </w:r>
          </w:p>
        </w:tc>
        <w:tc>
          <w:tcPr>
            <w:tcW w:w="960" w:type="dxa"/>
            <w:tcBorders>
              <w:top w:val="nil"/>
              <w:left w:val="nil"/>
              <w:bottom w:val="double" w:sz="6" w:space="0" w:color="auto"/>
              <w:right w:val="single" w:sz="4" w:space="0" w:color="auto"/>
            </w:tcBorders>
            <w:shd w:val="clear" w:color="000000" w:fill="F2F2F2"/>
            <w:noWrap/>
            <w:vAlign w:val="bottom"/>
            <w:hideMark/>
          </w:tcPr>
          <w:p w14:paraId="080A7964"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960" w:type="dxa"/>
            <w:tcBorders>
              <w:top w:val="nil"/>
              <w:left w:val="nil"/>
              <w:bottom w:val="double" w:sz="6" w:space="0" w:color="auto"/>
              <w:right w:val="single" w:sz="4" w:space="0" w:color="auto"/>
            </w:tcBorders>
            <w:shd w:val="clear" w:color="000000" w:fill="F2F2F2"/>
            <w:noWrap/>
            <w:vAlign w:val="bottom"/>
            <w:hideMark/>
          </w:tcPr>
          <w:p w14:paraId="14DF9EF6"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r>
      <w:tr w:rsidR="00375695" w:rsidRPr="00375695" w14:paraId="04A1EFD9" w14:textId="77777777" w:rsidTr="00375695">
        <w:trPr>
          <w:trHeight w:val="330"/>
          <w:jc w:val="center"/>
        </w:trPr>
        <w:tc>
          <w:tcPr>
            <w:tcW w:w="96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856C525"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11</w:t>
            </w:r>
          </w:p>
        </w:tc>
        <w:tc>
          <w:tcPr>
            <w:tcW w:w="660" w:type="dxa"/>
            <w:tcBorders>
              <w:top w:val="single" w:sz="4" w:space="0" w:color="auto"/>
              <w:left w:val="nil"/>
              <w:bottom w:val="single" w:sz="4" w:space="0" w:color="auto"/>
              <w:right w:val="single" w:sz="4" w:space="0" w:color="auto"/>
            </w:tcBorders>
            <w:shd w:val="clear" w:color="000000" w:fill="D9D9D9"/>
            <w:noWrap/>
            <w:vAlign w:val="bottom"/>
            <w:hideMark/>
          </w:tcPr>
          <w:p w14:paraId="73D5F3CE"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1800" w:type="dxa"/>
            <w:tcBorders>
              <w:top w:val="single" w:sz="4" w:space="0" w:color="auto"/>
              <w:left w:val="nil"/>
              <w:bottom w:val="single" w:sz="4" w:space="0" w:color="auto"/>
              <w:right w:val="single" w:sz="4" w:space="0" w:color="auto"/>
            </w:tcBorders>
            <w:shd w:val="clear" w:color="000000" w:fill="D9D9D9"/>
            <w:noWrap/>
            <w:vAlign w:val="bottom"/>
            <w:hideMark/>
          </w:tcPr>
          <w:p w14:paraId="71F71E18"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304A6D17"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Yes</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3247D44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08A6DE11"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r>
      <w:tr w:rsidR="00375695" w:rsidRPr="00375695" w14:paraId="23EA6AA6"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537AF7C0"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12</w:t>
            </w:r>
          </w:p>
        </w:tc>
        <w:tc>
          <w:tcPr>
            <w:tcW w:w="660" w:type="dxa"/>
            <w:tcBorders>
              <w:top w:val="nil"/>
              <w:left w:val="nil"/>
              <w:bottom w:val="single" w:sz="4" w:space="0" w:color="auto"/>
              <w:right w:val="single" w:sz="4" w:space="0" w:color="auto"/>
            </w:tcBorders>
            <w:shd w:val="clear" w:color="000000" w:fill="D9D9D9"/>
            <w:noWrap/>
            <w:vAlign w:val="bottom"/>
            <w:hideMark/>
          </w:tcPr>
          <w:p w14:paraId="2F7F6920"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1800" w:type="dxa"/>
            <w:tcBorders>
              <w:top w:val="nil"/>
              <w:left w:val="nil"/>
              <w:bottom w:val="single" w:sz="4" w:space="0" w:color="auto"/>
              <w:right w:val="single" w:sz="4" w:space="0" w:color="auto"/>
            </w:tcBorders>
            <w:shd w:val="clear" w:color="000000" w:fill="D9D9D9"/>
            <w:noWrap/>
            <w:vAlign w:val="bottom"/>
            <w:hideMark/>
          </w:tcPr>
          <w:p w14:paraId="45F0CB70"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c>
          <w:tcPr>
            <w:tcW w:w="960" w:type="dxa"/>
            <w:tcBorders>
              <w:top w:val="nil"/>
              <w:left w:val="nil"/>
              <w:bottom w:val="single" w:sz="4" w:space="0" w:color="auto"/>
              <w:right w:val="single" w:sz="4" w:space="0" w:color="auto"/>
            </w:tcBorders>
            <w:shd w:val="clear" w:color="000000" w:fill="D9D9D9"/>
            <w:noWrap/>
            <w:vAlign w:val="bottom"/>
            <w:hideMark/>
          </w:tcPr>
          <w:p w14:paraId="41B96739"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D9D9D9"/>
            <w:noWrap/>
            <w:vAlign w:val="bottom"/>
            <w:hideMark/>
          </w:tcPr>
          <w:p w14:paraId="00B9BFE4"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71033A8F"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r>
      <w:tr w:rsidR="00375695" w:rsidRPr="00375695" w14:paraId="60217476" w14:textId="77777777" w:rsidTr="00375695">
        <w:trPr>
          <w:trHeight w:val="315"/>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730A3A7E"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13</w:t>
            </w:r>
          </w:p>
        </w:tc>
        <w:tc>
          <w:tcPr>
            <w:tcW w:w="660" w:type="dxa"/>
            <w:tcBorders>
              <w:top w:val="nil"/>
              <w:left w:val="nil"/>
              <w:bottom w:val="single" w:sz="4" w:space="0" w:color="auto"/>
              <w:right w:val="single" w:sz="4" w:space="0" w:color="auto"/>
            </w:tcBorders>
            <w:shd w:val="clear" w:color="000000" w:fill="D9D9D9"/>
            <w:noWrap/>
            <w:vAlign w:val="bottom"/>
            <w:hideMark/>
          </w:tcPr>
          <w:p w14:paraId="6A72EBF5"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1800" w:type="dxa"/>
            <w:tcBorders>
              <w:top w:val="nil"/>
              <w:left w:val="nil"/>
              <w:bottom w:val="single" w:sz="4" w:space="0" w:color="auto"/>
              <w:right w:val="single" w:sz="4" w:space="0" w:color="auto"/>
            </w:tcBorders>
            <w:shd w:val="clear" w:color="000000" w:fill="D9D9D9"/>
            <w:noWrap/>
            <w:vAlign w:val="bottom"/>
            <w:hideMark/>
          </w:tcPr>
          <w:p w14:paraId="55D2FD54"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960" w:type="dxa"/>
            <w:tcBorders>
              <w:top w:val="nil"/>
              <w:left w:val="nil"/>
              <w:bottom w:val="single" w:sz="4" w:space="0" w:color="auto"/>
              <w:right w:val="single" w:sz="4" w:space="0" w:color="auto"/>
            </w:tcBorders>
            <w:shd w:val="clear" w:color="000000" w:fill="D9D9D9"/>
            <w:noWrap/>
            <w:vAlign w:val="bottom"/>
            <w:hideMark/>
          </w:tcPr>
          <w:p w14:paraId="1A4D6BDD"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D9D9D9"/>
            <w:noWrap/>
            <w:vAlign w:val="bottom"/>
            <w:hideMark/>
          </w:tcPr>
          <w:p w14:paraId="272FC9CA"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6F5D0F50"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r>
      <w:tr w:rsidR="00375695" w:rsidRPr="00375695" w14:paraId="0817A193" w14:textId="77777777" w:rsidTr="00375695">
        <w:trPr>
          <w:trHeight w:val="315"/>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7E7DAB34"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14</w:t>
            </w:r>
          </w:p>
        </w:tc>
        <w:tc>
          <w:tcPr>
            <w:tcW w:w="660" w:type="dxa"/>
            <w:tcBorders>
              <w:top w:val="nil"/>
              <w:left w:val="nil"/>
              <w:bottom w:val="single" w:sz="4" w:space="0" w:color="auto"/>
              <w:right w:val="single" w:sz="4" w:space="0" w:color="auto"/>
            </w:tcBorders>
            <w:shd w:val="clear" w:color="000000" w:fill="D9D9D9"/>
            <w:noWrap/>
            <w:vAlign w:val="bottom"/>
            <w:hideMark/>
          </w:tcPr>
          <w:p w14:paraId="361DF00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1800" w:type="dxa"/>
            <w:tcBorders>
              <w:top w:val="nil"/>
              <w:left w:val="nil"/>
              <w:bottom w:val="single" w:sz="4" w:space="0" w:color="auto"/>
              <w:right w:val="single" w:sz="4" w:space="0" w:color="auto"/>
            </w:tcBorders>
            <w:shd w:val="clear" w:color="000000" w:fill="D9D9D9"/>
            <w:noWrap/>
            <w:vAlign w:val="bottom"/>
            <w:hideMark/>
          </w:tcPr>
          <w:p w14:paraId="358D825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10CD7ED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D9D9D9"/>
            <w:noWrap/>
            <w:vAlign w:val="bottom"/>
            <w:hideMark/>
          </w:tcPr>
          <w:p w14:paraId="368721DF"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792B2AD8"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r>
      <w:tr w:rsidR="00375695" w:rsidRPr="00375695" w14:paraId="30464AC0" w14:textId="77777777" w:rsidTr="00375695">
        <w:trPr>
          <w:trHeight w:val="315"/>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0D9E36AF"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15</w:t>
            </w:r>
          </w:p>
        </w:tc>
        <w:tc>
          <w:tcPr>
            <w:tcW w:w="660" w:type="dxa"/>
            <w:tcBorders>
              <w:top w:val="nil"/>
              <w:left w:val="nil"/>
              <w:bottom w:val="single" w:sz="4" w:space="0" w:color="auto"/>
              <w:right w:val="single" w:sz="4" w:space="0" w:color="auto"/>
            </w:tcBorders>
            <w:shd w:val="clear" w:color="000000" w:fill="D9D9D9"/>
            <w:noWrap/>
            <w:vAlign w:val="bottom"/>
            <w:hideMark/>
          </w:tcPr>
          <w:p w14:paraId="09A4867C"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1800" w:type="dxa"/>
            <w:tcBorders>
              <w:top w:val="nil"/>
              <w:left w:val="nil"/>
              <w:bottom w:val="single" w:sz="4" w:space="0" w:color="auto"/>
              <w:right w:val="single" w:sz="4" w:space="0" w:color="auto"/>
            </w:tcBorders>
            <w:shd w:val="clear" w:color="000000" w:fill="D9D9D9"/>
            <w:noWrap/>
            <w:vAlign w:val="bottom"/>
            <w:hideMark/>
          </w:tcPr>
          <w:p w14:paraId="07C7EB4A"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3</w:t>
            </w:r>
          </w:p>
        </w:tc>
        <w:tc>
          <w:tcPr>
            <w:tcW w:w="960" w:type="dxa"/>
            <w:tcBorders>
              <w:top w:val="nil"/>
              <w:left w:val="nil"/>
              <w:bottom w:val="single" w:sz="4" w:space="0" w:color="auto"/>
              <w:right w:val="single" w:sz="4" w:space="0" w:color="auto"/>
            </w:tcBorders>
            <w:shd w:val="clear" w:color="000000" w:fill="D9D9D9"/>
            <w:noWrap/>
            <w:vAlign w:val="bottom"/>
            <w:hideMark/>
          </w:tcPr>
          <w:p w14:paraId="1B9A17C1"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D9D9D9"/>
            <w:noWrap/>
            <w:vAlign w:val="bottom"/>
            <w:hideMark/>
          </w:tcPr>
          <w:p w14:paraId="018DFE7D"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3F68BDCD"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3</w:t>
            </w:r>
          </w:p>
        </w:tc>
      </w:tr>
      <w:tr w:rsidR="00375695" w:rsidRPr="00375695" w14:paraId="6A04B8C2"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13AE6E8F"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16</w:t>
            </w:r>
          </w:p>
        </w:tc>
        <w:tc>
          <w:tcPr>
            <w:tcW w:w="660" w:type="dxa"/>
            <w:tcBorders>
              <w:top w:val="nil"/>
              <w:left w:val="nil"/>
              <w:bottom w:val="single" w:sz="4" w:space="0" w:color="auto"/>
              <w:right w:val="single" w:sz="4" w:space="0" w:color="auto"/>
            </w:tcBorders>
            <w:shd w:val="clear" w:color="000000" w:fill="D9D9D9"/>
            <w:noWrap/>
            <w:vAlign w:val="bottom"/>
            <w:hideMark/>
          </w:tcPr>
          <w:p w14:paraId="25D43061"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1800" w:type="dxa"/>
            <w:tcBorders>
              <w:top w:val="nil"/>
              <w:left w:val="nil"/>
              <w:bottom w:val="single" w:sz="4" w:space="0" w:color="auto"/>
              <w:right w:val="single" w:sz="4" w:space="0" w:color="auto"/>
            </w:tcBorders>
            <w:shd w:val="clear" w:color="000000" w:fill="D9D9D9"/>
            <w:noWrap/>
            <w:vAlign w:val="bottom"/>
            <w:hideMark/>
          </w:tcPr>
          <w:p w14:paraId="5850B734"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4</w:t>
            </w:r>
          </w:p>
        </w:tc>
        <w:tc>
          <w:tcPr>
            <w:tcW w:w="960" w:type="dxa"/>
            <w:tcBorders>
              <w:top w:val="nil"/>
              <w:left w:val="nil"/>
              <w:bottom w:val="single" w:sz="4" w:space="0" w:color="auto"/>
              <w:right w:val="single" w:sz="4" w:space="0" w:color="auto"/>
            </w:tcBorders>
            <w:shd w:val="clear" w:color="000000" w:fill="D9D9D9"/>
            <w:noWrap/>
            <w:vAlign w:val="bottom"/>
            <w:hideMark/>
          </w:tcPr>
          <w:p w14:paraId="2B91280C"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D9D9D9"/>
            <w:noWrap/>
            <w:vAlign w:val="bottom"/>
            <w:hideMark/>
          </w:tcPr>
          <w:p w14:paraId="7ABA2C3F"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53406F90" w14:textId="14BDF69A" w:rsidR="00375695" w:rsidRPr="00375695" w:rsidRDefault="008F5698" w:rsidP="00375695">
            <w:pPr>
              <w:overflowPunct/>
              <w:autoSpaceDE/>
              <w:autoSpaceDN/>
              <w:adjustRightInd/>
              <w:spacing w:after="0"/>
              <w:jc w:val="center"/>
              <w:textAlignment w:val="auto"/>
              <w:rPr>
                <w:rFonts w:ascii="Calibri" w:hAnsi="Calibri"/>
                <w:color w:val="000000"/>
                <w:sz w:val="18"/>
                <w:szCs w:val="18"/>
                <w:lang w:val="sv-SE" w:eastAsia="sv-SE"/>
              </w:rPr>
            </w:pPr>
            <w:r>
              <w:rPr>
                <w:rFonts w:ascii="Calibri" w:hAnsi="Calibri"/>
                <w:color w:val="000000"/>
                <w:sz w:val="18"/>
                <w:szCs w:val="18"/>
                <w:lang w:val="sv-SE" w:eastAsia="sv-SE"/>
              </w:rPr>
              <w:t>4</w:t>
            </w:r>
          </w:p>
        </w:tc>
      </w:tr>
      <w:tr w:rsidR="00375695" w:rsidRPr="00375695" w14:paraId="7F936737"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5230D55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17</w:t>
            </w:r>
          </w:p>
        </w:tc>
        <w:tc>
          <w:tcPr>
            <w:tcW w:w="660" w:type="dxa"/>
            <w:tcBorders>
              <w:top w:val="nil"/>
              <w:left w:val="nil"/>
              <w:bottom w:val="single" w:sz="4" w:space="0" w:color="auto"/>
              <w:right w:val="single" w:sz="4" w:space="0" w:color="auto"/>
            </w:tcBorders>
            <w:shd w:val="clear" w:color="000000" w:fill="D9D9D9"/>
            <w:noWrap/>
            <w:vAlign w:val="bottom"/>
            <w:hideMark/>
          </w:tcPr>
          <w:p w14:paraId="3674ABBE"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1800" w:type="dxa"/>
            <w:tcBorders>
              <w:top w:val="nil"/>
              <w:left w:val="nil"/>
              <w:bottom w:val="single" w:sz="4" w:space="0" w:color="auto"/>
              <w:right w:val="single" w:sz="4" w:space="0" w:color="auto"/>
            </w:tcBorders>
            <w:shd w:val="clear" w:color="000000" w:fill="D9D9D9"/>
            <w:noWrap/>
            <w:vAlign w:val="bottom"/>
            <w:hideMark/>
          </w:tcPr>
          <w:p w14:paraId="34ED62A7"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5</w:t>
            </w:r>
          </w:p>
        </w:tc>
        <w:tc>
          <w:tcPr>
            <w:tcW w:w="960" w:type="dxa"/>
            <w:tcBorders>
              <w:top w:val="nil"/>
              <w:left w:val="nil"/>
              <w:bottom w:val="single" w:sz="4" w:space="0" w:color="auto"/>
              <w:right w:val="single" w:sz="4" w:space="0" w:color="auto"/>
            </w:tcBorders>
            <w:shd w:val="clear" w:color="000000" w:fill="D9D9D9"/>
            <w:noWrap/>
            <w:vAlign w:val="bottom"/>
            <w:hideMark/>
          </w:tcPr>
          <w:p w14:paraId="11EE7737"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D9D9D9"/>
            <w:noWrap/>
            <w:vAlign w:val="bottom"/>
            <w:hideMark/>
          </w:tcPr>
          <w:p w14:paraId="04602498"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776883C0" w14:textId="16AE7629" w:rsidR="00375695" w:rsidRPr="00375695" w:rsidRDefault="00AD0A71" w:rsidP="00375695">
            <w:pPr>
              <w:overflowPunct/>
              <w:autoSpaceDE/>
              <w:autoSpaceDN/>
              <w:adjustRightInd/>
              <w:spacing w:after="0"/>
              <w:jc w:val="center"/>
              <w:textAlignment w:val="auto"/>
              <w:rPr>
                <w:rFonts w:ascii="Calibri" w:hAnsi="Calibri"/>
                <w:color w:val="000000"/>
                <w:sz w:val="18"/>
                <w:szCs w:val="18"/>
                <w:lang w:val="sv-SE" w:eastAsia="sv-SE"/>
              </w:rPr>
            </w:pPr>
            <w:r>
              <w:rPr>
                <w:rFonts w:ascii="Calibri" w:hAnsi="Calibri"/>
                <w:color w:val="000000"/>
                <w:sz w:val="18"/>
                <w:szCs w:val="18"/>
                <w:lang w:val="sv-SE" w:eastAsia="sv-SE"/>
              </w:rPr>
              <w:t>6</w:t>
            </w:r>
          </w:p>
        </w:tc>
      </w:tr>
      <w:tr w:rsidR="00375695" w:rsidRPr="00375695" w14:paraId="53188733"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54EB9C98"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18</w:t>
            </w:r>
          </w:p>
        </w:tc>
        <w:tc>
          <w:tcPr>
            <w:tcW w:w="660" w:type="dxa"/>
            <w:tcBorders>
              <w:top w:val="nil"/>
              <w:left w:val="nil"/>
              <w:bottom w:val="single" w:sz="4" w:space="0" w:color="auto"/>
              <w:right w:val="single" w:sz="4" w:space="0" w:color="auto"/>
            </w:tcBorders>
            <w:shd w:val="clear" w:color="000000" w:fill="D9D9D9"/>
            <w:noWrap/>
            <w:vAlign w:val="bottom"/>
            <w:hideMark/>
          </w:tcPr>
          <w:p w14:paraId="6DE3578C"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1800" w:type="dxa"/>
            <w:tcBorders>
              <w:top w:val="nil"/>
              <w:left w:val="nil"/>
              <w:bottom w:val="single" w:sz="4" w:space="0" w:color="auto"/>
              <w:right w:val="single" w:sz="4" w:space="0" w:color="auto"/>
            </w:tcBorders>
            <w:shd w:val="clear" w:color="000000" w:fill="D9D9D9"/>
            <w:noWrap/>
            <w:vAlign w:val="bottom"/>
            <w:hideMark/>
          </w:tcPr>
          <w:p w14:paraId="45A27804"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6</w:t>
            </w:r>
          </w:p>
        </w:tc>
        <w:tc>
          <w:tcPr>
            <w:tcW w:w="960" w:type="dxa"/>
            <w:tcBorders>
              <w:top w:val="nil"/>
              <w:left w:val="nil"/>
              <w:bottom w:val="single" w:sz="4" w:space="0" w:color="auto"/>
              <w:right w:val="single" w:sz="4" w:space="0" w:color="auto"/>
            </w:tcBorders>
            <w:shd w:val="clear" w:color="000000" w:fill="D9D9D9"/>
            <w:noWrap/>
            <w:vAlign w:val="bottom"/>
            <w:hideMark/>
          </w:tcPr>
          <w:p w14:paraId="04E3097F"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D9D9D9"/>
            <w:noWrap/>
            <w:vAlign w:val="bottom"/>
            <w:hideMark/>
          </w:tcPr>
          <w:p w14:paraId="14F01106"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58C9DC62" w14:textId="095C6BA3" w:rsidR="00375695" w:rsidRPr="00375695" w:rsidRDefault="00AD0A71" w:rsidP="00375695">
            <w:pPr>
              <w:overflowPunct/>
              <w:autoSpaceDE/>
              <w:autoSpaceDN/>
              <w:adjustRightInd/>
              <w:spacing w:after="0"/>
              <w:jc w:val="center"/>
              <w:textAlignment w:val="auto"/>
              <w:rPr>
                <w:rFonts w:ascii="Calibri" w:hAnsi="Calibri"/>
                <w:color w:val="000000"/>
                <w:sz w:val="18"/>
                <w:szCs w:val="18"/>
                <w:lang w:val="sv-SE" w:eastAsia="sv-SE"/>
              </w:rPr>
            </w:pPr>
            <w:r>
              <w:rPr>
                <w:rFonts w:ascii="Calibri" w:hAnsi="Calibri"/>
                <w:color w:val="000000"/>
                <w:sz w:val="18"/>
                <w:szCs w:val="18"/>
                <w:lang w:val="sv-SE" w:eastAsia="sv-SE"/>
              </w:rPr>
              <w:t>5</w:t>
            </w:r>
          </w:p>
        </w:tc>
      </w:tr>
      <w:tr w:rsidR="00375695" w:rsidRPr="00375695" w14:paraId="13775410"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6F078312"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19</w:t>
            </w:r>
          </w:p>
        </w:tc>
        <w:tc>
          <w:tcPr>
            <w:tcW w:w="660" w:type="dxa"/>
            <w:tcBorders>
              <w:top w:val="nil"/>
              <w:left w:val="nil"/>
              <w:bottom w:val="single" w:sz="4" w:space="0" w:color="auto"/>
              <w:right w:val="single" w:sz="4" w:space="0" w:color="auto"/>
            </w:tcBorders>
            <w:shd w:val="clear" w:color="000000" w:fill="D9D9D9"/>
            <w:noWrap/>
            <w:vAlign w:val="bottom"/>
            <w:hideMark/>
          </w:tcPr>
          <w:p w14:paraId="0E3C37B0"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w:t>
            </w:r>
          </w:p>
        </w:tc>
        <w:tc>
          <w:tcPr>
            <w:tcW w:w="1800" w:type="dxa"/>
            <w:tcBorders>
              <w:top w:val="nil"/>
              <w:left w:val="nil"/>
              <w:bottom w:val="single" w:sz="4" w:space="0" w:color="auto"/>
              <w:right w:val="single" w:sz="4" w:space="0" w:color="auto"/>
            </w:tcBorders>
            <w:shd w:val="clear" w:color="000000" w:fill="D9D9D9"/>
            <w:noWrap/>
            <w:vAlign w:val="bottom"/>
            <w:hideMark/>
          </w:tcPr>
          <w:p w14:paraId="37310F0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7</w:t>
            </w:r>
          </w:p>
        </w:tc>
        <w:tc>
          <w:tcPr>
            <w:tcW w:w="960" w:type="dxa"/>
            <w:tcBorders>
              <w:top w:val="nil"/>
              <w:left w:val="nil"/>
              <w:bottom w:val="single" w:sz="4" w:space="0" w:color="auto"/>
              <w:right w:val="single" w:sz="4" w:space="0" w:color="auto"/>
            </w:tcBorders>
            <w:shd w:val="clear" w:color="000000" w:fill="D9D9D9"/>
            <w:noWrap/>
            <w:vAlign w:val="bottom"/>
            <w:hideMark/>
          </w:tcPr>
          <w:p w14:paraId="7019C924"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D9D9D9"/>
            <w:noWrap/>
            <w:vAlign w:val="bottom"/>
            <w:hideMark/>
          </w:tcPr>
          <w:p w14:paraId="28466F3A"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3125D55E" w14:textId="76A214BB" w:rsidR="00375695" w:rsidRPr="00375695" w:rsidRDefault="008F5698" w:rsidP="00375695">
            <w:pPr>
              <w:overflowPunct/>
              <w:autoSpaceDE/>
              <w:autoSpaceDN/>
              <w:adjustRightInd/>
              <w:spacing w:after="0"/>
              <w:jc w:val="center"/>
              <w:textAlignment w:val="auto"/>
              <w:rPr>
                <w:rFonts w:ascii="Calibri" w:hAnsi="Calibri"/>
                <w:color w:val="000000"/>
                <w:sz w:val="18"/>
                <w:szCs w:val="18"/>
                <w:lang w:val="sv-SE" w:eastAsia="sv-SE"/>
              </w:rPr>
            </w:pPr>
            <w:r>
              <w:rPr>
                <w:rFonts w:ascii="Calibri" w:hAnsi="Calibri"/>
                <w:color w:val="000000"/>
                <w:sz w:val="18"/>
                <w:szCs w:val="18"/>
                <w:lang w:val="sv-SE" w:eastAsia="sv-SE"/>
              </w:rPr>
              <w:t>7</w:t>
            </w:r>
          </w:p>
        </w:tc>
      </w:tr>
      <w:tr w:rsidR="00375695" w:rsidRPr="00375695" w14:paraId="4DBD76E1"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63E0A647"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20</w:t>
            </w:r>
          </w:p>
        </w:tc>
        <w:tc>
          <w:tcPr>
            <w:tcW w:w="660" w:type="dxa"/>
            <w:tcBorders>
              <w:top w:val="nil"/>
              <w:left w:val="nil"/>
              <w:bottom w:val="single" w:sz="4" w:space="0" w:color="auto"/>
              <w:right w:val="single" w:sz="4" w:space="0" w:color="auto"/>
            </w:tcBorders>
            <w:shd w:val="clear" w:color="000000" w:fill="D9D9D9"/>
            <w:noWrap/>
            <w:vAlign w:val="bottom"/>
            <w:hideMark/>
          </w:tcPr>
          <w:p w14:paraId="3C57E209"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1800" w:type="dxa"/>
            <w:tcBorders>
              <w:top w:val="nil"/>
              <w:left w:val="nil"/>
              <w:bottom w:val="single" w:sz="4" w:space="0" w:color="auto"/>
              <w:right w:val="single" w:sz="4" w:space="0" w:color="auto"/>
            </w:tcBorders>
            <w:shd w:val="clear" w:color="000000" w:fill="D9D9D9"/>
            <w:noWrap/>
            <w:vAlign w:val="bottom"/>
            <w:hideMark/>
          </w:tcPr>
          <w:p w14:paraId="128750DC"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0,1</w:t>
            </w:r>
          </w:p>
        </w:tc>
        <w:tc>
          <w:tcPr>
            <w:tcW w:w="960" w:type="dxa"/>
            <w:tcBorders>
              <w:top w:val="nil"/>
              <w:left w:val="nil"/>
              <w:bottom w:val="single" w:sz="4" w:space="0" w:color="auto"/>
              <w:right w:val="single" w:sz="4" w:space="0" w:color="auto"/>
            </w:tcBorders>
            <w:shd w:val="clear" w:color="000000" w:fill="D9D9D9"/>
            <w:noWrap/>
            <w:vAlign w:val="bottom"/>
            <w:hideMark/>
          </w:tcPr>
          <w:p w14:paraId="6C35B660"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Yes</w:t>
            </w:r>
          </w:p>
        </w:tc>
        <w:tc>
          <w:tcPr>
            <w:tcW w:w="960" w:type="dxa"/>
            <w:tcBorders>
              <w:top w:val="nil"/>
              <w:left w:val="nil"/>
              <w:bottom w:val="single" w:sz="4" w:space="0" w:color="auto"/>
              <w:right w:val="single" w:sz="4" w:space="0" w:color="auto"/>
            </w:tcBorders>
            <w:shd w:val="clear" w:color="000000" w:fill="D9D9D9"/>
            <w:noWrap/>
            <w:vAlign w:val="bottom"/>
            <w:hideMark/>
          </w:tcPr>
          <w:p w14:paraId="63A27264"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6A0B475C"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r>
      <w:tr w:rsidR="00375695" w:rsidRPr="00375695" w14:paraId="440E7401"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7886632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lastRenderedPageBreak/>
              <w:t>21</w:t>
            </w:r>
          </w:p>
        </w:tc>
        <w:tc>
          <w:tcPr>
            <w:tcW w:w="660" w:type="dxa"/>
            <w:tcBorders>
              <w:top w:val="nil"/>
              <w:left w:val="nil"/>
              <w:bottom w:val="single" w:sz="4" w:space="0" w:color="auto"/>
              <w:right w:val="single" w:sz="4" w:space="0" w:color="auto"/>
            </w:tcBorders>
            <w:shd w:val="clear" w:color="000000" w:fill="D9D9D9"/>
            <w:noWrap/>
            <w:vAlign w:val="bottom"/>
            <w:hideMark/>
          </w:tcPr>
          <w:p w14:paraId="569627E8"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1800" w:type="dxa"/>
            <w:tcBorders>
              <w:top w:val="nil"/>
              <w:left w:val="nil"/>
              <w:bottom w:val="single" w:sz="4" w:space="0" w:color="auto"/>
              <w:right w:val="single" w:sz="4" w:space="0" w:color="auto"/>
            </w:tcBorders>
            <w:shd w:val="clear" w:color="000000" w:fill="D9D9D9"/>
            <w:noWrap/>
            <w:vAlign w:val="bottom"/>
            <w:hideMark/>
          </w:tcPr>
          <w:p w14:paraId="5985C23A"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0,1</w:t>
            </w:r>
          </w:p>
        </w:tc>
        <w:tc>
          <w:tcPr>
            <w:tcW w:w="960" w:type="dxa"/>
            <w:tcBorders>
              <w:top w:val="nil"/>
              <w:left w:val="nil"/>
              <w:bottom w:val="single" w:sz="4" w:space="0" w:color="auto"/>
              <w:right w:val="single" w:sz="4" w:space="0" w:color="auto"/>
            </w:tcBorders>
            <w:shd w:val="clear" w:color="000000" w:fill="D9D9D9"/>
            <w:noWrap/>
            <w:vAlign w:val="bottom"/>
            <w:hideMark/>
          </w:tcPr>
          <w:p w14:paraId="7B7907D4"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D9D9D9"/>
            <w:noWrap/>
            <w:vAlign w:val="bottom"/>
            <w:hideMark/>
          </w:tcPr>
          <w:p w14:paraId="6D2E4B45"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240A8EA1"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r>
      <w:tr w:rsidR="00375695" w:rsidRPr="00375695" w14:paraId="3D2772BC"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79852912"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22</w:t>
            </w:r>
          </w:p>
        </w:tc>
        <w:tc>
          <w:tcPr>
            <w:tcW w:w="660" w:type="dxa"/>
            <w:tcBorders>
              <w:top w:val="nil"/>
              <w:left w:val="nil"/>
              <w:bottom w:val="single" w:sz="4" w:space="0" w:color="auto"/>
              <w:right w:val="single" w:sz="4" w:space="0" w:color="auto"/>
            </w:tcBorders>
            <w:shd w:val="clear" w:color="000000" w:fill="D9D9D9"/>
            <w:noWrap/>
            <w:vAlign w:val="bottom"/>
            <w:hideMark/>
          </w:tcPr>
          <w:p w14:paraId="04858829"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1800" w:type="dxa"/>
            <w:tcBorders>
              <w:top w:val="nil"/>
              <w:left w:val="nil"/>
              <w:bottom w:val="single" w:sz="4" w:space="0" w:color="auto"/>
              <w:right w:val="single" w:sz="4" w:space="0" w:color="auto"/>
            </w:tcBorders>
            <w:shd w:val="clear" w:color="000000" w:fill="D9D9D9"/>
            <w:noWrap/>
            <w:vAlign w:val="bottom"/>
            <w:hideMark/>
          </w:tcPr>
          <w:p w14:paraId="11C540AC"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0,4</w:t>
            </w:r>
          </w:p>
        </w:tc>
        <w:tc>
          <w:tcPr>
            <w:tcW w:w="960" w:type="dxa"/>
            <w:tcBorders>
              <w:top w:val="nil"/>
              <w:left w:val="nil"/>
              <w:bottom w:val="single" w:sz="4" w:space="0" w:color="auto"/>
              <w:right w:val="single" w:sz="4" w:space="0" w:color="auto"/>
            </w:tcBorders>
            <w:shd w:val="clear" w:color="000000" w:fill="D9D9D9"/>
            <w:noWrap/>
            <w:vAlign w:val="bottom"/>
            <w:hideMark/>
          </w:tcPr>
          <w:p w14:paraId="574ECDAA"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Yes</w:t>
            </w:r>
          </w:p>
        </w:tc>
        <w:tc>
          <w:tcPr>
            <w:tcW w:w="960" w:type="dxa"/>
            <w:tcBorders>
              <w:top w:val="nil"/>
              <w:left w:val="nil"/>
              <w:bottom w:val="single" w:sz="4" w:space="0" w:color="auto"/>
              <w:right w:val="single" w:sz="4" w:space="0" w:color="auto"/>
            </w:tcBorders>
            <w:shd w:val="clear" w:color="000000" w:fill="D9D9D9"/>
            <w:noWrap/>
            <w:vAlign w:val="bottom"/>
            <w:hideMark/>
          </w:tcPr>
          <w:p w14:paraId="0534E208"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58CFF644" w14:textId="2870BAB6" w:rsidR="00375695" w:rsidRPr="00375695" w:rsidRDefault="008F5698" w:rsidP="00375695">
            <w:pPr>
              <w:overflowPunct/>
              <w:autoSpaceDE/>
              <w:autoSpaceDN/>
              <w:adjustRightInd/>
              <w:spacing w:after="0"/>
              <w:jc w:val="center"/>
              <w:textAlignment w:val="auto"/>
              <w:rPr>
                <w:rFonts w:ascii="Calibri" w:hAnsi="Calibri"/>
                <w:color w:val="000000"/>
                <w:sz w:val="18"/>
                <w:szCs w:val="18"/>
                <w:lang w:val="sv-SE" w:eastAsia="sv-SE"/>
              </w:rPr>
            </w:pPr>
            <w:r>
              <w:rPr>
                <w:rFonts w:ascii="Calibri" w:hAnsi="Calibri"/>
                <w:color w:val="000000"/>
                <w:sz w:val="18"/>
                <w:szCs w:val="18"/>
                <w:lang w:val="sv-SE" w:eastAsia="sv-SE"/>
              </w:rPr>
              <w:t>0</w:t>
            </w:r>
          </w:p>
        </w:tc>
      </w:tr>
      <w:tr w:rsidR="00375695" w:rsidRPr="00375695" w14:paraId="70428359"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2D695C95"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23</w:t>
            </w:r>
          </w:p>
        </w:tc>
        <w:tc>
          <w:tcPr>
            <w:tcW w:w="660" w:type="dxa"/>
            <w:tcBorders>
              <w:top w:val="nil"/>
              <w:left w:val="nil"/>
              <w:bottom w:val="single" w:sz="4" w:space="0" w:color="auto"/>
              <w:right w:val="single" w:sz="4" w:space="0" w:color="auto"/>
            </w:tcBorders>
            <w:shd w:val="clear" w:color="000000" w:fill="D9D9D9"/>
            <w:noWrap/>
            <w:vAlign w:val="bottom"/>
            <w:hideMark/>
          </w:tcPr>
          <w:p w14:paraId="3E118224"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1800" w:type="dxa"/>
            <w:tcBorders>
              <w:top w:val="nil"/>
              <w:left w:val="nil"/>
              <w:bottom w:val="single" w:sz="4" w:space="0" w:color="auto"/>
              <w:right w:val="single" w:sz="4" w:space="0" w:color="auto"/>
            </w:tcBorders>
            <w:shd w:val="clear" w:color="000000" w:fill="D9D9D9"/>
            <w:noWrap/>
            <w:vAlign w:val="bottom"/>
            <w:hideMark/>
          </w:tcPr>
          <w:p w14:paraId="40BA79E4"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0,4</w:t>
            </w:r>
          </w:p>
        </w:tc>
        <w:tc>
          <w:tcPr>
            <w:tcW w:w="960" w:type="dxa"/>
            <w:tcBorders>
              <w:top w:val="nil"/>
              <w:left w:val="nil"/>
              <w:bottom w:val="single" w:sz="4" w:space="0" w:color="auto"/>
              <w:right w:val="single" w:sz="4" w:space="0" w:color="auto"/>
            </w:tcBorders>
            <w:shd w:val="clear" w:color="000000" w:fill="D9D9D9"/>
            <w:noWrap/>
            <w:vAlign w:val="bottom"/>
            <w:hideMark/>
          </w:tcPr>
          <w:p w14:paraId="4CE2FF5C"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D9D9D9"/>
            <w:noWrap/>
            <w:vAlign w:val="bottom"/>
            <w:hideMark/>
          </w:tcPr>
          <w:p w14:paraId="3B6B5CF7"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20DA42D4" w14:textId="38B11FF7" w:rsidR="00375695" w:rsidRPr="00375695" w:rsidRDefault="008F5698" w:rsidP="00375695">
            <w:pPr>
              <w:overflowPunct/>
              <w:autoSpaceDE/>
              <w:autoSpaceDN/>
              <w:adjustRightInd/>
              <w:spacing w:after="0"/>
              <w:jc w:val="center"/>
              <w:textAlignment w:val="auto"/>
              <w:rPr>
                <w:rFonts w:ascii="Calibri" w:hAnsi="Calibri"/>
                <w:color w:val="000000"/>
                <w:sz w:val="18"/>
                <w:szCs w:val="18"/>
                <w:lang w:val="sv-SE" w:eastAsia="sv-SE"/>
              </w:rPr>
            </w:pPr>
            <w:r>
              <w:rPr>
                <w:rFonts w:ascii="Calibri" w:hAnsi="Calibri"/>
                <w:color w:val="000000"/>
                <w:sz w:val="18"/>
                <w:szCs w:val="18"/>
                <w:lang w:val="sv-SE" w:eastAsia="sv-SE"/>
              </w:rPr>
              <w:t>0</w:t>
            </w:r>
          </w:p>
        </w:tc>
      </w:tr>
      <w:tr w:rsidR="00375695" w:rsidRPr="00375695" w14:paraId="3EE5B259" w14:textId="77777777" w:rsidTr="00375695">
        <w:trPr>
          <w:trHeight w:val="315"/>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42B5E059"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24</w:t>
            </w:r>
          </w:p>
        </w:tc>
        <w:tc>
          <w:tcPr>
            <w:tcW w:w="660" w:type="dxa"/>
            <w:tcBorders>
              <w:top w:val="nil"/>
              <w:left w:val="nil"/>
              <w:bottom w:val="single" w:sz="4" w:space="0" w:color="auto"/>
              <w:right w:val="single" w:sz="4" w:space="0" w:color="auto"/>
            </w:tcBorders>
            <w:shd w:val="clear" w:color="000000" w:fill="D9D9D9"/>
            <w:noWrap/>
            <w:vAlign w:val="bottom"/>
            <w:hideMark/>
          </w:tcPr>
          <w:p w14:paraId="566C8947"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1800" w:type="dxa"/>
            <w:tcBorders>
              <w:top w:val="nil"/>
              <w:left w:val="nil"/>
              <w:bottom w:val="single" w:sz="4" w:space="0" w:color="auto"/>
              <w:right w:val="single" w:sz="4" w:space="0" w:color="auto"/>
            </w:tcBorders>
            <w:shd w:val="clear" w:color="000000" w:fill="D9D9D9"/>
            <w:noWrap/>
            <w:vAlign w:val="bottom"/>
            <w:hideMark/>
          </w:tcPr>
          <w:p w14:paraId="1CDB458F"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2,6</w:t>
            </w:r>
          </w:p>
        </w:tc>
        <w:tc>
          <w:tcPr>
            <w:tcW w:w="960" w:type="dxa"/>
            <w:tcBorders>
              <w:top w:val="nil"/>
              <w:left w:val="nil"/>
              <w:bottom w:val="single" w:sz="4" w:space="0" w:color="auto"/>
              <w:right w:val="single" w:sz="4" w:space="0" w:color="auto"/>
            </w:tcBorders>
            <w:shd w:val="clear" w:color="000000" w:fill="D9D9D9"/>
            <w:noWrap/>
            <w:vAlign w:val="bottom"/>
            <w:hideMark/>
          </w:tcPr>
          <w:p w14:paraId="23082D7B"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D9D9D9"/>
            <w:noWrap/>
            <w:vAlign w:val="bottom"/>
            <w:hideMark/>
          </w:tcPr>
          <w:p w14:paraId="0BC599CF"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36AA50AC" w14:textId="4B0080BD" w:rsidR="00375695" w:rsidRPr="00375695" w:rsidRDefault="008F5698" w:rsidP="00375695">
            <w:pPr>
              <w:overflowPunct/>
              <w:autoSpaceDE/>
              <w:autoSpaceDN/>
              <w:adjustRightInd/>
              <w:spacing w:after="0"/>
              <w:jc w:val="center"/>
              <w:textAlignment w:val="auto"/>
              <w:rPr>
                <w:rFonts w:ascii="Calibri" w:hAnsi="Calibri"/>
                <w:color w:val="000000"/>
                <w:sz w:val="18"/>
                <w:szCs w:val="18"/>
                <w:lang w:val="sv-SE" w:eastAsia="sv-SE"/>
              </w:rPr>
            </w:pPr>
            <w:r>
              <w:rPr>
                <w:rFonts w:ascii="Calibri" w:hAnsi="Calibri"/>
                <w:color w:val="000000"/>
                <w:sz w:val="18"/>
                <w:szCs w:val="18"/>
                <w:lang w:val="sv-SE" w:eastAsia="sv-SE"/>
              </w:rPr>
              <w:t>1</w:t>
            </w:r>
          </w:p>
        </w:tc>
      </w:tr>
      <w:tr w:rsidR="00375695" w:rsidRPr="00375695" w14:paraId="43587E23" w14:textId="77777777" w:rsidTr="00375695">
        <w:trPr>
          <w:trHeight w:val="315"/>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0CF7CE56"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25</w:t>
            </w:r>
          </w:p>
        </w:tc>
        <w:tc>
          <w:tcPr>
            <w:tcW w:w="660" w:type="dxa"/>
            <w:tcBorders>
              <w:top w:val="nil"/>
              <w:left w:val="nil"/>
              <w:bottom w:val="single" w:sz="4" w:space="0" w:color="auto"/>
              <w:right w:val="single" w:sz="4" w:space="0" w:color="auto"/>
            </w:tcBorders>
            <w:shd w:val="clear" w:color="000000" w:fill="D9D9D9"/>
            <w:noWrap/>
            <w:vAlign w:val="bottom"/>
            <w:hideMark/>
          </w:tcPr>
          <w:p w14:paraId="19B37018"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1800" w:type="dxa"/>
            <w:tcBorders>
              <w:top w:val="nil"/>
              <w:left w:val="nil"/>
              <w:bottom w:val="single" w:sz="4" w:space="0" w:color="auto"/>
              <w:right w:val="single" w:sz="4" w:space="0" w:color="auto"/>
            </w:tcBorders>
            <w:shd w:val="clear" w:color="000000" w:fill="D9D9D9"/>
            <w:noWrap/>
            <w:vAlign w:val="bottom"/>
            <w:hideMark/>
          </w:tcPr>
          <w:p w14:paraId="13DFFAB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1,5</w:t>
            </w:r>
          </w:p>
        </w:tc>
        <w:tc>
          <w:tcPr>
            <w:tcW w:w="960" w:type="dxa"/>
            <w:tcBorders>
              <w:top w:val="nil"/>
              <w:left w:val="nil"/>
              <w:bottom w:val="single" w:sz="4" w:space="0" w:color="auto"/>
              <w:right w:val="single" w:sz="4" w:space="0" w:color="auto"/>
            </w:tcBorders>
            <w:shd w:val="clear" w:color="000000" w:fill="D9D9D9"/>
            <w:noWrap/>
            <w:vAlign w:val="bottom"/>
            <w:hideMark/>
          </w:tcPr>
          <w:p w14:paraId="12A15E6D"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D9D9D9"/>
            <w:noWrap/>
            <w:vAlign w:val="bottom"/>
            <w:hideMark/>
          </w:tcPr>
          <w:p w14:paraId="53B03451"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29D3F486" w14:textId="20197995" w:rsidR="00375695" w:rsidRPr="00375695" w:rsidRDefault="008F5698" w:rsidP="00375695">
            <w:pPr>
              <w:overflowPunct/>
              <w:autoSpaceDE/>
              <w:autoSpaceDN/>
              <w:adjustRightInd/>
              <w:spacing w:after="0"/>
              <w:jc w:val="center"/>
              <w:textAlignment w:val="auto"/>
              <w:rPr>
                <w:rFonts w:ascii="Calibri" w:hAnsi="Calibri"/>
                <w:color w:val="000000"/>
                <w:sz w:val="18"/>
                <w:szCs w:val="18"/>
                <w:lang w:val="sv-SE" w:eastAsia="sv-SE"/>
              </w:rPr>
            </w:pPr>
            <w:r>
              <w:rPr>
                <w:rFonts w:ascii="Calibri" w:hAnsi="Calibri"/>
                <w:color w:val="000000"/>
                <w:sz w:val="18"/>
                <w:szCs w:val="18"/>
                <w:lang w:val="sv-SE" w:eastAsia="sv-SE"/>
              </w:rPr>
              <w:t>2</w:t>
            </w:r>
          </w:p>
        </w:tc>
      </w:tr>
      <w:tr w:rsidR="00375695" w:rsidRPr="00375695" w14:paraId="0443823C" w14:textId="77777777" w:rsidTr="00375695">
        <w:trPr>
          <w:trHeight w:val="315"/>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34EBED2A"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26</w:t>
            </w:r>
          </w:p>
        </w:tc>
        <w:tc>
          <w:tcPr>
            <w:tcW w:w="660" w:type="dxa"/>
            <w:tcBorders>
              <w:top w:val="nil"/>
              <w:left w:val="nil"/>
              <w:bottom w:val="single" w:sz="4" w:space="0" w:color="auto"/>
              <w:right w:val="single" w:sz="4" w:space="0" w:color="auto"/>
            </w:tcBorders>
            <w:shd w:val="clear" w:color="000000" w:fill="D9D9D9"/>
            <w:noWrap/>
            <w:vAlign w:val="bottom"/>
            <w:hideMark/>
          </w:tcPr>
          <w:p w14:paraId="59F6460A"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1800" w:type="dxa"/>
            <w:tcBorders>
              <w:top w:val="nil"/>
              <w:left w:val="nil"/>
              <w:bottom w:val="single" w:sz="4" w:space="0" w:color="auto"/>
              <w:right w:val="single" w:sz="4" w:space="0" w:color="auto"/>
            </w:tcBorders>
            <w:shd w:val="clear" w:color="000000" w:fill="D9D9D9"/>
            <w:noWrap/>
            <w:vAlign w:val="bottom"/>
            <w:hideMark/>
          </w:tcPr>
          <w:p w14:paraId="57E9C90B"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3,7</w:t>
            </w:r>
          </w:p>
        </w:tc>
        <w:tc>
          <w:tcPr>
            <w:tcW w:w="960" w:type="dxa"/>
            <w:tcBorders>
              <w:top w:val="nil"/>
              <w:left w:val="nil"/>
              <w:bottom w:val="single" w:sz="4" w:space="0" w:color="auto"/>
              <w:right w:val="single" w:sz="4" w:space="0" w:color="auto"/>
            </w:tcBorders>
            <w:shd w:val="clear" w:color="000000" w:fill="D9D9D9"/>
            <w:noWrap/>
            <w:vAlign w:val="bottom"/>
            <w:hideMark/>
          </w:tcPr>
          <w:p w14:paraId="3ED29BEA"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D9D9D9"/>
            <w:noWrap/>
            <w:vAlign w:val="bottom"/>
            <w:hideMark/>
          </w:tcPr>
          <w:p w14:paraId="30B42F95"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0B923D3A" w14:textId="0981A8B1" w:rsidR="00375695" w:rsidRPr="00375695" w:rsidRDefault="008F5698" w:rsidP="00375695">
            <w:pPr>
              <w:overflowPunct/>
              <w:autoSpaceDE/>
              <w:autoSpaceDN/>
              <w:adjustRightInd/>
              <w:spacing w:after="0"/>
              <w:jc w:val="center"/>
              <w:textAlignment w:val="auto"/>
              <w:rPr>
                <w:rFonts w:ascii="Calibri" w:hAnsi="Calibri"/>
                <w:color w:val="000000"/>
                <w:sz w:val="18"/>
                <w:szCs w:val="18"/>
                <w:lang w:val="sv-SE" w:eastAsia="sv-SE"/>
              </w:rPr>
            </w:pPr>
            <w:r>
              <w:rPr>
                <w:rFonts w:ascii="Calibri" w:hAnsi="Calibri"/>
                <w:color w:val="000000"/>
                <w:sz w:val="18"/>
                <w:szCs w:val="18"/>
                <w:lang w:val="sv-SE" w:eastAsia="sv-SE"/>
              </w:rPr>
              <w:t>3</w:t>
            </w:r>
          </w:p>
        </w:tc>
      </w:tr>
      <w:tr w:rsidR="00375695" w:rsidRPr="00375695" w14:paraId="77ECDE72" w14:textId="77777777" w:rsidTr="00375695">
        <w:trPr>
          <w:trHeight w:val="315"/>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2CE7F910"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27</w:t>
            </w:r>
          </w:p>
        </w:tc>
        <w:tc>
          <w:tcPr>
            <w:tcW w:w="660" w:type="dxa"/>
            <w:tcBorders>
              <w:top w:val="nil"/>
              <w:left w:val="nil"/>
              <w:bottom w:val="single" w:sz="4" w:space="0" w:color="auto"/>
              <w:right w:val="single" w:sz="4" w:space="0" w:color="auto"/>
            </w:tcBorders>
            <w:shd w:val="clear" w:color="000000" w:fill="D9D9D9"/>
            <w:noWrap/>
            <w:vAlign w:val="bottom"/>
            <w:hideMark/>
          </w:tcPr>
          <w:p w14:paraId="5A4A964E"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1800" w:type="dxa"/>
            <w:tcBorders>
              <w:top w:val="nil"/>
              <w:left w:val="nil"/>
              <w:bottom w:val="single" w:sz="4" w:space="0" w:color="auto"/>
              <w:right w:val="single" w:sz="4" w:space="0" w:color="auto"/>
            </w:tcBorders>
            <w:shd w:val="clear" w:color="000000" w:fill="D9D9D9"/>
            <w:noWrap/>
            <w:vAlign w:val="bottom"/>
            <w:hideMark/>
          </w:tcPr>
          <w:p w14:paraId="7A7510B7"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0,2</w:t>
            </w:r>
          </w:p>
        </w:tc>
        <w:tc>
          <w:tcPr>
            <w:tcW w:w="960" w:type="dxa"/>
            <w:tcBorders>
              <w:top w:val="nil"/>
              <w:left w:val="nil"/>
              <w:bottom w:val="single" w:sz="4" w:space="0" w:color="auto"/>
              <w:right w:val="single" w:sz="4" w:space="0" w:color="auto"/>
            </w:tcBorders>
            <w:shd w:val="clear" w:color="000000" w:fill="D9D9D9"/>
            <w:noWrap/>
            <w:vAlign w:val="bottom"/>
            <w:hideMark/>
          </w:tcPr>
          <w:p w14:paraId="780F2946"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N/A</w:t>
            </w:r>
          </w:p>
        </w:tc>
        <w:tc>
          <w:tcPr>
            <w:tcW w:w="960" w:type="dxa"/>
            <w:tcBorders>
              <w:top w:val="nil"/>
              <w:left w:val="nil"/>
              <w:bottom w:val="single" w:sz="4" w:space="0" w:color="auto"/>
              <w:right w:val="single" w:sz="4" w:space="0" w:color="auto"/>
            </w:tcBorders>
            <w:shd w:val="clear" w:color="000000" w:fill="D9D9D9"/>
            <w:noWrap/>
            <w:vAlign w:val="bottom"/>
            <w:hideMark/>
          </w:tcPr>
          <w:p w14:paraId="78AF58BD"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79EC43AB"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r>
      <w:tr w:rsidR="00375695" w:rsidRPr="00375695" w14:paraId="3059D4CE" w14:textId="77777777" w:rsidTr="00375695">
        <w:trPr>
          <w:trHeight w:val="315"/>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551EA7D6"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28</w:t>
            </w:r>
          </w:p>
        </w:tc>
        <w:tc>
          <w:tcPr>
            <w:tcW w:w="660" w:type="dxa"/>
            <w:tcBorders>
              <w:top w:val="nil"/>
              <w:left w:val="nil"/>
              <w:bottom w:val="single" w:sz="4" w:space="0" w:color="auto"/>
              <w:right w:val="single" w:sz="4" w:space="0" w:color="auto"/>
            </w:tcBorders>
            <w:shd w:val="clear" w:color="000000" w:fill="D9D9D9"/>
            <w:noWrap/>
            <w:vAlign w:val="bottom"/>
            <w:hideMark/>
          </w:tcPr>
          <w:p w14:paraId="1419904A"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3</w:t>
            </w:r>
          </w:p>
        </w:tc>
        <w:tc>
          <w:tcPr>
            <w:tcW w:w="1800" w:type="dxa"/>
            <w:tcBorders>
              <w:top w:val="nil"/>
              <w:left w:val="nil"/>
              <w:bottom w:val="single" w:sz="4" w:space="0" w:color="auto"/>
              <w:right w:val="single" w:sz="4" w:space="0" w:color="auto"/>
            </w:tcBorders>
            <w:shd w:val="clear" w:color="000000" w:fill="D9D9D9"/>
            <w:noWrap/>
            <w:vAlign w:val="bottom"/>
            <w:hideMark/>
          </w:tcPr>
          <w:p w14:paraId="33C12EAA"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0,1,2</w:t>
            </w:r>
          </w:p>
        </w:tc>
        <w:tc>
          <w:tcPr>
            <w:tcW w:w="960" w:type="dxa"/>
            <w:tcBorders>
              <w:top w:val="nil"/>
              <w:left w:val="nil"/>
              <w:bottom w:val="single" w:sz="4" w:space="0" w:color="auto"/>
              <w:right w:val="single" w:sz="4" w:space="0" w:color="auto"/>
            </w:tcBorders>
            <w:shd w:val="clear" w:color="000000" w:fill="D9D9D9"/>
            <w:noWrap/>
            <w:vAlign w:val="bottom"/>
            <w:hideMark/>
          </w:tcPr>
          <w:p w14:paraId="15280A0D"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N/A</w:t>
            </w:r>
          </w:p>
        </w:tc>
        <w:tc>
          <w:tcPr>
            <w:tcW w:w="960" w:type="dxa"/>
            <w:tcBorders>
              <w:top w:val="nil"/>
              <w:left w:val="nil"/>
              <w:bottom w:val="single" w:sz="4" w:space="0" w:color="auto"/>
              <w:right w:val="single" w:sz="4" w:space="0" w:color="auto"/>
            </w:tcBorders>
            <w:shd w:val="clear" w:color="000000" w:fill="D9D9D9"/>
            <w:noWrap/>
            <w:vAlign w:val="bottom"/>
            <w:hideMark/>
          </w:tcPr>
          <w:p w14:paraId="3C16437A"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3D278659"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r>
      <w:tr w:rsidR="00375695" w:rsidRPr="00375695" w14:paraId="076C26AC" w14:textId="77777777" w:rsidTr="00375695">
        <w:trPr>
          <w:trHeight w:val="315"/>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0145BFD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29</w:t>
            </w:r>
          </w:p>
        </w:tc>
        <w:tc>
          <w:tcPr>
            <w:tcW w:w="660" w:type="dxa"/>
            <w:tcBorders>
              <w:top w:val="nil"/>
              <w:left w:val="nil"/>
              <w:bottom w:val="single" w:sz="4" w:space="0" w:color="auto"/>
              <w:right w:val="single" w:sz="4" w:space="0" w:color="auto"/>
            </w:tcBorders>
            <w:shd w:val="clear" w:color="000000" w:fill="D9D9D9"/>
            <w:noWrap/>
            <w:vAlign w:val="bottom"/>
            <w:hideMark/>
          </w:tcPr>
          <w:p w14:paraId="6BDCC516"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3</w:t>
            </w:r>
          </w:p>
        </w:tc>
        <w:tc>
          <w:tcPr>
            <w:tcW w:w="1800" w:type="dxa"/>
            <w:tcBorders>
              <w:top w:val="nil"/>
              <w:left w:val="nil"/>
              <w:bottom w:val="single" w:sz="4" w:space="0" w:color="auto"/>
              <w:right w:val="single" w:sz="4" w:space="0" w:color="auto"/>
            </w:tcBorders>
            <w:shd w:val="clear" w:color="000000" w:fill="D9D9D9"/>
            <w:noWrap/>
            <w:vAlign w:val="bottom"/>
            <w:hideMark/>
          </w:tcPr>
          <w:p w14:paraId="0F81C91E"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0,4,2</w:t>
            </w:r>
          </w:p>
        </w:tc>
        <w:tc>
          <w:tcPr>
            <w:tcW w:w="960" w:type="dxa"/>
            <w:tcBorders>
              <w:top w:val="nil"/>
              <w:left w:val="nil"/>
              <w:bottom w:val="single" w:sz="4" w:space="0" w:color="auto"/>
              <w:right w:val="single" w:sz="4" w:space="0" w:color="auto"/>
            </w:tcBorders>
            <w:shd w:val="clear" w:color="000000" w:fill="D9D9D9"/>
            <w:noWrap/>
            <w:vAlign w:val="bottom"/>
            <w:hideMark/>
          </w:tcPr>
          <w:p w14:paraId="010D471D"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N/A</w:t>
            </w:r>
          </w:p>
        </w:tc>
        <w:tc>
          <w:tcPr>
            <w:tcW w:w="960" w:type="dxa"/>
            <w:tcBorders>
              <w:top w:val="nil"/>
              <w:left w:val="nil"/>
              <w:bottom w:val="single" w:sz="4" w:space="0" w:color="auto"/>
              <w:right w:val="single" w:sz="4" w:space="0" w:color="auto"/>
            </w:tcBorders>
            <w:shd w:val="clear" w:color="000000" w:fill="D9D9D9"/>
            <w:noWrap/>
            <w:vAlign w:val="bottom"/>
            <w:hideMark/>
          </w:tcPr>
          <w:p w14:paraId="756DD46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1179C44B" w14:textId="0F30227E" w:rsidR="00375695" w:rsidRPr="00375695" w:rsidRDefault="008F5698" w:rsidP="00375695">
            <w:pPr>
              <w:overflowPunct/>
              <w:autoSpaceDE/>
              <w:autoSpaceDN/>
              <w:adjustRightInd/>
              <w:spacing w:after="0"/>
              <w:jc w:val="center"/>
              <w:textAlignment w:val="auto"/>
              <w:rPr>
                <w:rFonts w:ascii="Calibri" w:hAnsi="Calibri"/>
                <w:color w:val="000000"/>
                <w:sz w:val="18"/>
                <w:szCs w:val="18"/>
                <w:lang w:val="sv-SE" w:eastAsia="sv-SE"/>
              </w:rPr>
            </w:pPr>
            <w:r>
              <w:rPr>
                <w:rFonts w:ascii="Calibri" w:hAnsi="Calibri"/>
                <w:color w:val="000000"/>
                <w:sz w:val="18"/>
                <w:szCs w:val="18"/>
                <w:lang w:val="sv-SE" w:eastAsia="sv-SE"/>
              </w:rPr>
              <w:t>0</w:t>
            </w:r>
          </w:p>
        </w:tc>
      </w:tr>
      <w:tr w:rsidR="00375695" w:rsidRPr="00375695" w14:paraId="723BD7A8" w14:textId="77777777" w:rsidTr="00375695">
        <w:trPr>
          <w:trHeight w:val="315"/>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5B145B84"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30</w:t>
            </w:r>
          </w:p>
        </w:tc>
        <w:tc>
          <w:tcPr>
            <w:tcW w:w="660" w:type="dxa"/>
            <w:tcBorders>
              <w:top w:val="nil"/>
              <w:left w:val="nil"/>
              <w:bottom w:val="single" w:sz="4" w:space="0" w:color="auto"/>
              <w:right w:val="single" w:sz="4" w:space="0" w:color="auto"/>
            </w:tcBorders>
            <w:shd w:val="clear" w:color="000000" w:fill="D9D9D9"/>
            <w:noWrap/>
            <w:vAlign w:val="bottom"/>
            <w:hideMark/>
          </w:tcPr>
          <w:p w14:paraId="3707B849"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3</w:t>
            </w:r>
          </w:p>
        </w:tc>
        <w:tc>
          <w:tcPr>
            <w:tcW w:w="1800" w:type="dxa"/>
            <w:tcBorders>
              <w:top w:val="nil"/>
              <w:left w:val="nil"/>
              <w:bottom w:val="single" w:sz="4" w:space="0" w:color="auto"/>
              <w:right w:val="single" w:sz="4" w:space="0" w:color="auto"/>
            </w:tcBorders>
            <w:shd w:val="clear" w:color="000000" w:fill="D9D9D9"/>
            <w:noWrap/>
            <w:vAlign w:val="bottom"/>
            <w:hideMark/>
          </w:tcPr>
          <w:p w14:paraId="3E35A07C"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0,1,4</w:t>
            </w:r>
          </w:p>
        </w:tc>
        <w:tc>
          <w:tcPr>
            <w:tcW w:w="960" w:type="dxa"/>
            <w:tcBorders>
              <w:top w:val="nil"/>
              <w:left w:val="nil"/>
              <w:bottom w:val="single" w:sz="4" w:space="0" w:color="auto"/>
              <w:right w:val="single" w:sz="4" w:space="0" w:color="auto"/>
            </w:tcBorders>
            <w:shd w:val="clear" w:color="000000" w:fill="D9D9D9"/>
            <w:noWrap/>
            <w:vAlign w:val="bottom"/>
            <w:hideMark/>
          </w:tcPr>
          <w:p w14:paraId="2A5A9854"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Yes</w:t>
            </w:r>
          </w:p>
        </w:tc>
        <w:tc>
          <w:tcPr>
            <w:tcW w:w="960" w:type="dxa"/>
            <w:tcBorders>
              <w:top w:val="nil"/>
              <w:left w:val="nil"/>
              <w:bottom w:val="single" w:sz="4" w:space="0" w:color="auto"/>
              <w:right w:val="single" w:sz="4" w:space="0" w:color="auto"/>
            </w:tcBorders>
            <w:shd w:val="clear" w:color="000000" w:fill="D9D9D9"/>
            <w:noWrap/>
            <w:vAlign w:val="bottom"/>
            <w:hideMark/>
          </w:tcPr>
          <w:p w14:paraId="70929BD7"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43717254" w14:textId="750F7F6C" w:rsidR="00375695" w:rsidRPr="00375695" w:rsidRDefault="008F5698" w:rsidP="00375695">
            <w:pPr>
              <w:overflowPunct/>
              <w:autoSpaceDE/>
              <w:autoSpaceDN/>
              <w:adjustRightInd/>
              <w:spacing w:after="0"/>
              <w:jc w:val="center"/>
              <w:textAlignment w:val="auto"/>
              <w:rPr>
                <w:rFonts w:ascii="Calibri" w:hAnsi="Calibri"/>
                <w:color w:val="000000"/>
                <w:sz w:val="18"/>
                <w:szCs w:val="18"/>
                <w:lang w:val="sv-SE" w:eastAsia="sv-SE"/>
              </w:rPr>
            </w:pPr>
            <w:r>
              <w:rPr>
                <w:rFonts w:ascii="Calibri" w:hAnsi="Calibri"/>
                <w:color w:val="000000"/>
                <w:sz w:val="18"/>
                <w:szCs w:val="18"/>
                <w:lang w:val="sv-SE" w:eastAsia="sv-SE"/>
              </w:rPr>
              <w:t>0</w:t>
            </w:r>
          </w:p>
        </w:tc>
      </w:tr>
      <w:tr w:rsidR="00375695" w:rsidRPr="00375695" w14:paraId="7AF437D1" w14:textId="77777777" w:rsidTr="00375695">
        <w:trPr>
          <w:trHeight w:val="315"/>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7CCD2B62"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31</w:t>
            </w:r>
          </w:p>
        </w:tc>
        <w:tc>
          <w:tcPr>
            <w:tcW w:w="660" w:type="dxa"/>
            <w:tcBorders>
              <w:top w:val="nil"/>
              <w:left w:val="nil"/>
              <w:bottom w:val="single" w:sz="4" w:space="0" w:color="auto"/>
              <w:right w:val="single" w:sz="4" w:space="0" w:color="auto"/>
            </w:tcBorders>
            <w:shd w:val="clear" w:color="000000" w:fill="D9D9D9"/>
            <w:noWrap/>
            <w:vAlign w:val="bottom"/>
            <w:hideMark/>
          </w:tcPr>
          <w:p w14:paraId="66064968"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3</w:t>
            </w:r>
          </w:p>
        </w:tc>
        <w:tc>
          <w:tcPr>
            <w:tcW w:w="1800" w:type="dxa"/>
            <w:tcBorders>
              <w:top w:val="nil"/>
              <w:left w:val="nil"/>
              <w:bottom w:val="single" w:sz="4" w:space="0" w:color="auto"/>
              <w:right w:val="single" w:sz="4" w:space="0" w:color="auto"/>
            </w:tcBorders>
            <w:shd w:val="clear" w:color="000000" w:fill="D9D9D9"/>
            <w:noWrap/>
            <w:vAlign w:val="bottom"/>
            <w:hideMark/>
          </w:tcPr>
          <w:p w14:paraId="1A3B0FE6"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0,1,4</w:t>
            </w:r>
          </w:p>
        </w:tc>
        <w:tc>
          <w:tcPr>
            <w:tcW w:w="960" w:type="dxa"/>
            <w:tcBorders>
              <w:top w:val="nil"/>
              <w:left w:val="nil"/>
              <w:bottom w:val="single" w:sz="4" w:space="0" w:color="auto"/>
              <w:right w:val="single" w:sz="4" w:space="0" w:color="auto"/>
            </w:tcBorders>
            <w:shd w:val="clear" w:color="000000" w:fill="D9D9D9"/>
            <w:noWrap/>
            <w:vAlign w:val="bottom"/>
            <w:hideMark/>
          </w:tcPr>
          <w:p w14:paraId="66DD9A5B"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4" w:space="0" w:color="auto"/>
              <w:right w:val="single" w:sz="4" w:space="0" w:color="auto"/>
            </w:tcBorders>
            <w:shd w:val="clear" w:color="000000" w:fill="D9D9D9"/>
            <w:noWrap/>
            <w:vAlign w:val="bottom"/>
            <w:hideMark/>
          </w:tcPr>
          <w:p w14:paraId="5E7790EA"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2BFF4484" w14:textId="03C6E0B1" w:rsidR="00375695" w:rsidRPr="00375695" w:rsidRDefault="008F5698" w:rsidP="00375695">
            <w:pPr>
              <w:overflowPunct/>
              <w:autoSpaceDE/>
              <w:autoSpaceDN/>
              <w:adjustRightInd/>
              <w:spacing w:after="0"/>
              <w:jc w:val="center"/>
              <w:textAlignment w:val="auto"/>
              <w:rPr>
                <w:rFonts w:ascii="Calibri" w:hAnsi="Calibri"/>
                <w:color w:val="000000"/>
                <w:sz w:val="18"/>
                <w:szCs w:val="18"/>
                <w:lang w:val="sv-SE" w:eastAsia="sv-SE"/>
              </w:rPr>
            </w:pPr>
            <w:r>
              <w:rPr>
                <w:rFonts w:ascii="Calibri" w:hAnsi="Calibri"/>
                <w:color w:val="000000"/>
                <w:sz w:val="18"/>
                <w:szCs w:val="18"/>
                <w:lang w:val="sv-SE" w:eastAsia="sv-SE"/>
              </w:rPr>
              <w:t>0</w:t>
            </w:r>
          </w:p>
        </w:tc>
      </w:tr>
      <w:tr w:rsidR="00375695" w:rsidRPr="00375695" w14:paraId="0DE190C8" w14:textId="77777777" w:rsidTr="00375695">
        <w:trPr>
          <w:trHeight w:val="315"/>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060E5227"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32</w:t>
            </w:r>
          </w:p>
        </w:tc>
        <w:tc>
          <w:tcPr>
            <w:tcW w:w="660" w:type="dxa"/>
            <w:tcBorders>
              <w:top w:val="nil"/>
              <w:left w:val="nil"/>
              <w:bottom w:val="single" w:sz="4" w:space="0" w:color="auto"/>
              <w:right w:val="single" w:sz="4" w:space="0" w:color="auto"/>
            </w:tcBorders>
            <w:shd w:val="clear" w:color="000000" w:fill="D9D9D9"/>
            <w:noWrap/>
            <w:vAlign w:val="bottom"/>
            <w:hideMark/>
          </w:tcPr>
          <w:p w14:paraId="6E725425"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4</w:t>
            </w:r>
          </w:p>
        </w:tc>
        <w:tc>
          <w:tcPr>
            <w:tcW w:w="1800" w:type="dxa"/>
            <w:tcBorders>
              <w:top w:val="nil"/>
              <w:left w:val="nil"/>
              <w:bottom w:val="single" w:sz="4" w:space="0" w:color="auto"/>
              <w:right w:val="single" w:sz="4" w:space="0" w:color="auto"/>
            </w:tcBorders>
            <w:shd w:val="clear" w:color="000000" w:fill="D9D9D9"/>
            <w:noWrap/>
            <w:vAlign w:val="bottom"/>
            <w:hideMark/>
          </w:tcPr>
          <w:p w14:paraId="3312EF3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0,1,2,3</w:t>
            </w:r>
          </w:p>
        </w:tc>
        <w:tc>
          <w:tcPr>
            <w:tcW w:w="960" w:type="dxa"/>
            <w:tcBorders>
              <w:top w:val="nil"/>
              <w:left w:val="nil"/>
              <w:bottom w:val="single" w:sz="4" w:space="0" w:color="auto"/>
              <w:right w:val="single" w:sz="4" w:space="0" w:color="auto"/>
            </w:tcBorders>
            <w:shd w:val="clear" w:color="000000" w:fill="D9D9D9"/>
            <w:noWrap/>
            <w:vAlign w:val="bottom"/>
            <w:hideMark/>
          </w:tcPr>
          <w:p w14:paraId="786F56C2"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N/A</w:t>
            </w:r>
          </w:p>
        </w:tc>
        <w:tc>
          <w:tcPr>
            <w:tcW w:w="960" w:type="dxa"/>
            <w:tcBorders>
              <w:top w:val="nil"/>
              <w:left w:val="nil"/>
              <w:bottom w:val="single" w:sz="4" w:space="0" w:color="auto"/>
              <w:right w:val="single" w:sz="4" w:space="0" w:color="auto"/>
            </w:tcBorders>
            <w:shd w:val="clear" w:color="000000" w:fill="D9D9D9"/>
            <w:noWrap/>
            <w:vAlign w:val="bottom"/>
            <w:hideMark/>
          </w:tcPr>
          <w:p w14:paraId="62604B82"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233D9DF5"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w:t>
            </w:r>
          </w:p>
        </w:tc>
      </w:tr>
      <w:tr w:rsidR="00375695" w:rsidRPr="00375695" w14:paraId="2585984D" w14:textId="77777777" w:rsidTr="00375695">
        <w:trPr>
          <w:trHeight w:val="315"/>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217BF4CB"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33</w:t>
            </w:r>
          </w:p>
        </w:tc>
        <w:tc>
          <w:tcPr>
            <w:tcW w:w="660" w:type="dxa"/>
            <w:tcBorders>
              <w:top w:val="nil"/>
              <w:left w:val="nil"/>
              <w:bottom w:val="single" w:sz="4" w:space="0" w:color="auto"/>
              <w:right w:val="single" w:sz="4" w:space="0" w:color="auto"/>
            </w:tcBorders>
            <w:shd w:val="clear" w:color="000000" w:fill="D9D9D9"/>
            <w:noWrap/>
            <w:vAlign w:val="bottom"/>
            <w:hideMark/>
          </w:tcPr>
          <w:p w14:paraId="2B6AC2B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4</w:t>
            </w:r>
          </w:p>
        </w:tc>
        <w:tc>
          <w:tcPr>
            <w:tcW w:w="1800" w:type="dxa"/>
            <w:tcBorders>
              <w:top w:val="nil"/>
              <w:left w:val="nil"/>
              <w:bottom w:val="single" w:sz="4" w:space="0" w:color="auto"/>
              <w:right w:val="single" w:sz="4" w:space="0" w:color="auto"/>
            </w:tcBorders>
            <w:shd w:val="clear" w:color="000000" w:fill="D9D9D9"/>
            <w:noWrap/>
            <w:vAlign w:val="bottom"/>
            <w:hideMark/>
          </w:tcPr>
          <w:p w14:paraId="39BC1449"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0,4,2,6</w:t>
            </w:r>
          </w:p>
        </w:tc>
        <w:tc>
          <w:tcPr>
            <w:tcW w:w="960" w:type="dxa"/>
            <w:tcBorders>
              <w:top w:val="nil"/>
              <w:left w:val="nil"/>
              <w:bottom w:val="single" w:sz="4" w:space="0" w:color="auto"/>
              <w:right w:val="single" w:sz="4" w:space="0" w:color="auto"/>
            </w:tcBorders>
            <w:shd w:val="clear" w:color="000000" w:fill="D9D9D9"/>
            <w:noWrap/>
            <w:vAlign w:val="bottom"/>
            <w:hideMark/>
          </w:tcPr>
          <w:p w14:paraId="7F630464"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N/A</w:t>
            </w:r>
          </w:p>
        </w:tc>
        <w:tc>
          <w:tcPr>
            <w:tcW w:w="960" w:type="dxa"/>
            <w:tcBorders>
              <w:top w:val="nil"/>
              <w:left w:val="nil"/>
              <w:bottom w:val="single" w:sz="4" w:space="0" w:color="auto"/>
              <w:right w:val="single" w:sz="4" w:space="0" w:color="auto"/>
            </w:tcBorders>
            <w:shd w:val="clear" w:color="000000" w:fill="D9D9D9"/>
            <w:noWrap/>
            <w:vAlign w:val="bottom"/>
            <w:hideMark/>
          </w:tcPr>
          <w:p w14:paraId="14AC624C"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3443BBBA" w14:textId="5EA8C150" w:rsidR="00375695" w:rsidRPr="00375695" w:rsidRDefault="008F5698" w:rsidP="00375695">
            <w:pPr>
              <w:overflowPunct/>
              <w:autoSpaceDE/>
              <w:autoSpaceDN/>
              <w:adjustRightInd/>
              <w:spacing w:after="0"/>
              <w:jc w:val="center"/>
              <w:textAlignment w:val="auto"/>
              <w:rPr>
                <w:rFonts w:ascii="Calibri" w:hAnsi="Calibri"/>
                <w:color w:val="000000"/>
                <w:sz w:val="18"/>
                <w:szCs w:val="18"/>
                <w:lang w:val="sv-SE" w:eastAsia="sv-SE"/>
              </w:rPr>
            </w:pPr>
            <w:r>
              <w:rPr>
                <w:rFonts w:ascii="Calibri" w:hAnsi="Calibri"/>
                <w:color w:val="000000"/>
                <w:sz w:val="18"/>
                <w:szCs w:val="18"/>
                <w:lang w:val="sv-SE" w:eastAsia="sv-SE"/>
              </w:rPr>
              <w:t>0</w:t>
            </w:r>
          </w:p>
        </w:tc>
      </w:tr>
      <w:tr w:rsidR="00375695" w:rsidRPr="00375695" w14:paraId="28352A8E" w14:textId="77777777" w:rsidTr="00375695">
        <w:trPr>
          <w:trHeight w:val="300"/>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113091A0"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34</w:t>
            </w:r>
          </w:p>
        </w:tc>
        <w:tc>
          <w:tcPr>
            <w:tcW w:w="660" w:type="dxa"/>
            <w:tcBorders>
              <w:top w:val="nil"/>
              <w:left w:val="nil"/>
              <w:bottom w:val="single" w:sz="4" w:space="0" w:color="auto"/>
              <w:right w:val="single" w:sz="4" w:space="0" w:color="auto"/>
            </w:tcBorders>
            <w:shd w:val="clear" w:color="000000" w:fill="D9D9D9"/>
            <w:noWrap/>
            <w:vAlign w:val="bottom"/>
            <w:hideMark/>
          </w:tcPr>
          <w:p w14:paraId="0F4F5DD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4</w:t>
            </w:r>
          </w:p>
        </w:tc>
        <w:tc>
          <w:tcPr>
            <w:tcW w:w="1800" w:type="dxa"/>
            <w:tcBorders>
              <w:top w:val="nil"/>
              <w:left w:val="nil"/>
              <w:bottom w:val="single" w:sz="4" w:space="0" w:color="auto"/>
              <w:right w:val="single" w:sz="4" w:space="0" w:color="auto"/>
            </w:tcBorders>
            <w:shd w:val="clear" w:color="000000" w:fill="D9D9D9"/>
            <w:noWrap/>
            <w:vAlign w:val="bottom"/>
            <w:hideMark/>
          </w:tcPr>
          <w:p w14:paraId="72CF320E"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0,1,4,5</w:t>
            </w:r>
          </w:p>
        </w:tc>
        <w:tc>
          <w:tcPr>
            <w:tcW w:w="960" w:type="dxa"/>
            <w:tcBorders>
              <w:top w:val="nil"/>
              <w:left w:val="nil"/>
              <w:bottom w:val="single" w:sz="4" w:space="0" w:color="auto"/>
              <w:right w:val="single" w:sz="4" w:space="0" w:color="auto"/>
            </w:tcBorders>
            <w:shd w:val="clear" w:color="000000" w:fill="D9D9D9"/>
            <w:noWrap/>
            <w:vAlign w:val="bottom"/>
            <w:hideMark/>
          </w:tcPr>
          <w:p w14:paraId="11C02B17"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Yes</w:t>
            </w:r>
          </w:p>
        </w:tc>
        <w:tc>
          <w:tcPr>
            <w:tcW w:w="960" w:type="dxa"/>
            <w:tcBorders>
              <w:top w:val="nil"/>
              <w:left w:val="nil"/>
              <w:bottom w:val="single" w:sz="4" w:space="0" w:color="auto"/>
              <w:right w:val="single" w:sz="4" w:space="0" w:color="auto"/>
            </w:tcBorders>
            <w:shd w:val="clear" w:color="000000" w:fill="D9D9D9"/>
            <w:noWrap/>
            <w:vAlign w:val="bottom"/>
            <w:hideMark/>
          </w:tcPr>
          <w:p w14:paraId="1441C954"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4" w:space="0" w:color="auto"/>
              <w:right w:val="single" w:sz="4" w:space="0" w:color="auto"/>
            </w:tcBorders>
            <w:shd w:val="clear" w:color="000000" w:fill="D9D9D9"/>
            <w:noWrap/>
            <w:vAlign w:val="bottom"/>
            <w:hideMark/>
          </w:tcPr>
          <w:p w14:paraId="3AD5694B" w14:textId="21272022" w:rsidR="00375695" w:rsidRPr="00375695" w:rsidRDefault="008F5698" w:rsidP="00375695">
            <w:pPr>
              <w:overflowPunct/>
              <w:autoSpaceDE/>
              <w:autoSpaceDN/>
              <w:adjustRightInd/>
              <w:spacing w:after="0"/>
              <w:jc w:val="center"/>
              <w:textAlignment w:val="auto"/>
              <w:rPr>
                <w:rFonts w:ascii="Calibri" w:hAnsi="Calibri"/>
                <w:color w:val="000000"/>
                <w:sz w:val="18"/>
                <w:szCs w:val="18"/>
                <w:lang w:val="sv-SE" w:eastAsia="sv-SE"/>
              </w:rPr>
            </w:pPr>
            <w:r>
              <w:rPr>
                <w:rFonts w:ascii="Calibri" w:hAnsi="Calibri"/>
                <w:color w:val="000000"/>
                <w:sz w:val="18"/>
                <w:szCs w:val="18"/>
                <w:lang w:val="sv-SE" w:eastAsia="sv-SE"/>
              </w:rPr>
              <w:t>0</w:t>
            </w:r>
          </w:p>
        </w:tc>
      </w:tr>
      <w:tr w:rsidR="00375695" w:rsidRPr="00375695" w14:paraId="0884D548" w14:textId="77777777" w:rsidTr="00375695">
        <w:trPr>
          <w:trHeight w:val="315"/>
          <w:jc w:val="center"/>
        </w:trPr>
        <w:tc>
          <w:tcPr>
            <w:tcW w:w="960" w:type="dxa"/>
            <w:tcBorders>
              <w:top w:val="nil"/>
              <w:left w:val="single" w:sz="4" w:space="0" w:color="auto"/>
              <w:bottom w:val="single" w:sz="4" w:space="0" w:color="auto"/>
              <w:right w:val="single" w:sz="4" w:space="0" w:color="auto"/>
            </w:tcBorders>
            <w:shd w:val="clear" w:color="000000" w:fill="D9D9D9"/>
            <w:noWrap/>
            <w:vAlign w:val="bottom"/>
            <w:hideMark/>
          </w:tcPr>
          <w:p w14:paraId="1AAE47EE"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35</w:t>
            </w:r>
          </w:p>
        </w:tc>
        <w:tc>
          <w:tcPr>
            <w:tcW w:w="660" w:type="dxa"/>
            <w:tcBorders>
              <w:top w:val="nil"/>
              <w:left w:val="nil"/>
              <w:bottom w:val="single" w:sz="8" w:space="0" w:color="auto"/>
              <w:right w:val="single" w:sz="4" w:space="0" w:color="auto"/>
            </w:tcBorders>
            <w:shd w:val="clear" w:color="000000" w:fill="D9D9D9"/>
            <w:noWrap/>
            <w:vAlign w:val="bottom"/>
            <w:hideMark/>
          </w:tcPr>
          <w:p w14:paraId="2B0A2DBC"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4</w:t>
            </w:r>
          </w:p>
        </w:tc>
        <w:tc>
          <w:tcPr>
            <w:tcW w:w="1800" w:type="dxa"/>
            <w:tcBorders>
              <w:top w:val="nil"/>
              <w:left w:val="nil"/>
              <w:bottom w:val="single" w:sz="8" w:space="0" w:color="auto"/>
              <w:right w:val="single" w:sz="4" w:space="0" w:color="auto"/>
            </w:tcBorders>
            <w:shd w:val="clear" w:color="000000" w:fill="D9D9D9"/>
            <w:noWrap/>
            <w:vAlign w:val="bottom"/>
            <w:hideMark/>
          </w:tcPr>
          <w:p w14:paraId="40894895"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0,1,4,5</w:t>
            </w:r>
          </w:p>
        </w:tc>
        <w:tc>
          <w:tcPr>
            <w:tcW w:w="960" w:type="dxa"/>
            <w:tcBorders>
              <w:top w:val="nil"/>
              <w:left w:val="nil"/>
              <w:bottom w:val="single" w:sz="8" w:space="0" w:color="auto"/>
              <w:right w:val="single" w:sz="4" w:space="0" w:color="auto"/>
            </w:tcBorders>
            <w:shd w:val="clear" w:color="000000" w:fill="D9D9D9"/>
            <w:noWrap/>
            <w:vAlign w:val="bottom"/>
            <w:hideMark/>
          </w:tcPr>
          <w:p w14:paraId="6DB25A50"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No</w:t>
            </w:r>
          </w:p>
        </w:tc>
        <w:tc>
          <w:tcPr>
            <w:tcW w:w="960" w:type="dxa"/>
            <w:tcBorders>
              <w:top w:val="nil"/>
              <w:left w:val="nil"/>
              <w:bottom w:val="single" w:sz="8" w:space="0" w:color="auto"/>
              <w:right w:val="single" w:sz="4" w:space="0" w:color="auto"/>
            </w:tcBorders>
            <w:shd w:val="clear" w:color="000000" w:fill="D9D9D9"/>
            <w:noWrap/>
            <w:vAlign w:val="bottom"/>
            <w:hideMark/>
          </w:tcPr>
          <w:p w14:paraId="6E3F9543" w14:textId="77777777" w:rsidR="00375695" w:rsidRPr="00375695" w:rsidRDefault="00375695" w:rsidP="00375695">
            <w:pPr>
              <w:overflowPunct/>
              <w:autoSpaceDE/>
              <w:autoSpaceDN/>
              <w:adjustRightInd/>
              <w:spacing w:after="0"/>
              <w:jc w:val="center"/>
              <w:textAlignment w:val="auto"/>
              <w:rPr>
                <w:rFonts w:ascii="Calibri" w:hAnsi="Calibri"/>
                <w:color w:val="000000"/>
                <w:sz w:val="18"/>
                <w:szCs w:val="18"/>
                <w:lang w:val="sv-SE" w:eastAsia="sv-SE"/>
              </w:rPr>
            </w:pPr>
            <w:r w:rsidRPr="00375695">
              <w:rPr>
                <w:rFonts w:ascii="Calibri" w:hAnsi="Calibri"/>
                <w:color w:val="000000"/>
                <w:sz w:val="18"/>
                <w:szCs w:val="18"/>
                <w:lang w:val="sv-SE" w:eastAsia="sv-SE"/>
              </w:rPr>
              <w:t>2</w:t>
            </w:r>
          </w:p>
        </w:tc>
        <w:tc>
          <w:tcPr>
            <w:tcW w:w="960" w:type="dxa"/>
            <w:tcBorders>
              <w:top w:val="nil"/>
              <w:left w:val="nil"/>
              <w:bottom w:val="single" w:sz="8" w:space="0" w:color="auto"/>
              <w:right w:val="single" w:sz="4" w:space="0" w:color="auto"/>
            </w:tcBorders>
            <w:shd w:val="clear" w:color="000000" w:fill="D9D9D9"/>
            <w:noWrap/>
            <w:vAlign w:val="bottom"/>
            <w:hideMark/>
          </w:tcPr>
          <w:p w14:paraId="184E2241" w14:textId="4D2F1CF0" w:rsidR="00375695" w:rsidRPr="00375695" w:rsidRDefault="008F5698" w:rsidP="00375695">
            <w:pPr>
              <w:overflowPunct/>
              <w:autoSpaceDE/>
              <w:autoSpaceDN/>
              <w:adjustRightInd/>
              <w:spacing w:after="0"/>
              <w:jc w:val="center"/>
              <w:textAlignment w:val="auto"/>
              <w:rPr>
                <w:rFonts w:ascii="Calibri" w:hAnsi="Calibri"/>
                <w:color w:val="000000"/>
                <w:sz w:val="18"/>
                <w:szCs w:val="18"/>
                <w:lang w:val="sv-SE" w:eastAsia="sv-SE"/>
              </w:rPr>
            </w:pPr>
            <w:r>
              <w:rPr>
                <w:rFonts w:ascii="Calibri" w:hAnsi="Calibri"/>
                <w:color w:val="000000"/>
                <w:sz w:val="18"/>
                <w:szCs w:val="18"/>
                <w:lang w:val="sv-SE" w:eastAsia="sv-SE"/>
              </w:rPr>
              <w:t>0</w:t>
            </w:r>
          </w:p>
        </w:tc>
      </w:tr>
    </w:tbl>
    <w:p w14:paraId="5352C0F0" w14:textId="495AE146" w:rsidR="00851CB6" w:rsidRPr="00375695" w:rsidRDefault="00851CB6" w:rsidP="00851CB6"/>
    <w:p w14:paraId="3E811A57" w14:textId="3E03390A" w:rsidR="00C009A1" w:rsidRDefault="00C009A1" w:rsidP="00851CB6">
      <w:pPr>
        <w:rPr>
          <w:lang w:val="en-US"/>
        </w:rPr>
      </w:pPr>
    </w:p>
    <w:p w14:paraId="584E4B09" w14:textId="2C57114B" w:rsidR="00C009A1" w:rsidRDefault="00C009A1" w:rsidP="005E6FAC">
      <w:pPr>
        <w:pStyle w:val="Heading2"/>
        <w:rPr>
          <w:lang w:val="en-US"/>
        </w:rPr>
      </w:pPr>
      <w:r>
        <w:rPr>
          <w:lang w:val="en-US"/>
        </w:rPr>
        <w:t>Port mapping table for DL for DMRS configuration type 1</w:t>
      </w:r>
    </w:p>
    <w:p w14:paraId="2FC95719" w14:textId="77777777" w:rsidR="003D25EF" w:rsidRDefault="00C009A1" w:rsidP="00C009A1">
      <w:pPr>
        <w:rPr>
          <w:lang w:val="en-US"/>
        </w:rPr>
      </w:pPr>
      <w:r>
        <w:rPr>
          <w:lang w:val="en-US"/>
        </w:rPr>
        <w:t xml:space="preserve">For DL, the port mapping table can be designed taking into account the maximum 8 layer DL SU-MIMO and also the use of up to 8 or 12 ports respectively. The Antenna port table for DMRS type 1 is shown in Table 1 below including also PDSCH mapping to unused CDM group, or not, in case the ports only use the first CDM group. </w:t>
      </w:r>
    </w:p>
    <w:p w14:paraId="301CECAC" w14:textId="28429D93" w:rsidR="003D25EF" w:rsidRDefault="003D25EF" w:rsidP="00C009A1">
      <w:pPr>
        <w:rPr>
          <w:lang w:val="en-US"/>
        </w:rPr>
      </w:pPr>
      <w:r>
        <w:rPr>
          <w:lang w:val="en-US"/>
        </w:rPr>
        <w:t xml:space="preserve">Moreover, it is indicated if other ports are used to other UEs in the same CDM group or groups the UE is using but this is only for the case the UE use the “leading port” for a given rank, for example port 0 is the leading port for rank 1 and is used for SU-MIMO scheduling and port 0,1 is leading port pair for rank 2 scheduling.  Scheduling port 1 in rank 1 is only possible if also port 0 in the same CDM group is used. </w:t>
      </w:r>
    </w:p>
    <w:p w14:paraId="5C458D45" w14:textId="292EC4B3" w:rsidR="00C009A1" w:rsidRDefault="00C009A1" w:rsidP="00C009A1">
      <w:pPr>
        <w:rPr>
          <w:lang w:val="en-US"/>
        </w:rPr>
      </w:pPr>
      <w:r>
        <w:rPr>
          <w:lang w:val="en-US"/>
        </w:rPr>
        <w:t xml:space="preserve">The PTRS mapping subcarrier us also given in this table depending on the used DMRS port. Also, the ports using TD-OCC for port separation are not applicable when PTRS is configured. </w:t>
      </w:r>
    </w:p>
    <w:p w14:paraId="1CAFFD8A" w14:textId="26F83057" w:rsidR="00C009A1" w:rsidRDefault="00C009A1" w:rsidP="00851CB6">
      <w:pPr>
        <w:rPr>
          <w:lang w:val="en-US"/>
        </w:rPr>
      </w:pPr>
    </w:p>
    <w:p w14:paraId="323D1AEE" w14:textId="292E7C8F" w:rsidR="00C009A1" w:rsidRDefault="00C009A1" w:rsidP="00C009A1">
      <w:pPr>
        <w:pStyle w:val="Caption"/>
        <w:keepNext/>
      </w:pPr>
      <w:r>
        <w:t xml:space="preserve">Table </w:t>
      </w:r>
      <w:r>
        <w:fldChar w:fldCharType="begin"/>
      </w:r>
      <w:r>
        <w:instrText xml:space="preserve"> SEQ Table \* ARABIC </w:instrText>
      </w:r>
      <w:r>
        <w:fldChar w:fldCharType="separate"/>
      </w:r>
      <w:r w:rsidR="00037459">
        <w:rPr>
          <w:noProof/>
        </w:rPr>
        <w:t>2</w:t>
      </w:r>
      <w:r>
        <w:fldChar w:fldCharType="end"/>
      </w:r>
      <w:r>
        <w:t xml:space="preserve"> Antenna port mapping table for PDSCH scheduling for type 1 DMRS</w:t>
      </w:r>
    </w:p>
    <w:tbl>
      <w:tblPr>
        <w:tblW w:w="6640" w:type="dxa"/>
        <w:jc w:val="center"/>
        <w:tblCellMar>
          <w:left w:w="70" w:type="dxa"/>
          <w:right w:w="70" w:type="dxa"/>
        </w:tblCellMar>
        <w:tblLook w:val="04A0" w:firstRow="1" w:lastRow="0" w:firstColumn="1" w:lastColumn="0" w:noHBand="0" w:noVBand="1"/>
      </w:tblPr>
      <w:tblGrid>
        <w:gridCol w:w="669"/>
        <w:gridCol w:w="763"/>
        <w:gridCol w:w="1602"/>
        <w:gridCol w:w="907"/>
        <w:gridCol w:w="1129"/>
        <w:gridCol w:w="753"/>
        <w:gridCol w:w="1046"/>
      </w:tblGrid>
      <w:tr w:rsidR="007259A1" w:rsidRPr="007259A1" w14:paraId="1E466506" w14:textId="77777777" w:rsidTr="007259A1">
        <w:trPr>
          <w:trHeight w:val="1800"/>
          <w:jc w:val="center"/>
        </w:trPr>
        <w:tc>
          <w:tcPr>
            <w:tcW w:w="669" w:type="dxa"/>
            <w:tcBorders>
              <w:top w:val="single" w:sz="4" w:space="0" w:color="auto"/>
              <w:left w:val="single" w:sz="4" w:space="0" w:color="auto"/>
              <w:bottom w:val="single" w:sz="4" w:space="0" w:color="auto"/>
              <w:right w:val="single" w:sz="4" w:space="0" w:color="auto"/>
            </w:tcBorders>
            <w:shd w:val="clear" w:color="000000" w:fill="FFF2CC"/>
            <w:vAlign w:val="bottom"/>
            <w:hideMark/>
          </w:tcPr>
          <w:p w14:paraId="1594343A" w14:textId="77777777" w:rsidR="007259A1" w:rsidRPr="007259A1" w:rsidRDefault="007259A1" w:rsidP="007259A1">
            <w:pPr>
              <w:overflowPunct/>
              <w:autoSpaceDE/>
              <w:autoSpaceDN/>
              <w:adjustRightInd/>
              <w:spacing w:after="0"/>
              <w:jc w:val="left"/>
              <w:textAlignment w:val="auto"/>
              <w:rPr>
                <w:rFonts w:ascii="Calibri" w:hAnsi="Calibri"/>
                <w:color w:val="000000"/>
                <w:sz w:val="22"/>
                <w:szCs w:val="22"/>
                <w:lang w:val="sv-SE" w:eastAsia="sv-SE"/>
              </w:rPr>
            </w:pPr>
            <w:r w:rsidRPr="007259A1">
              <w:rPr>
                <w:rFonts w:ascii="Calibri" w:hAnsi="Calibri"/>
                <w:color w:val="000000"/>
                <w:sz w:val="22"/>
                <w:szCs w:val="22"/>
                <w:lang w:val="sv-SE" w:eastAsia="sv-SE"/>
              </w:rPr>
              <w:t>Table index</w:t>
            </w:r>
          </w:p>
        </w:tc>
        <w:tc>
          <w:tcPr>
            <w:tcW w:w="763" w:type="dxa"/>
            <w:tcBorders>
              <w:top w:val="single" w:sz="4" w:space="0" w:color="auto"/>
              <w:left w:val="nil"/>
              <w:bottom w:val="single" w:sz="4" w:space="0" w:color="auto"/>
              <w:right w:val="single" w:sz="4" w:space="0" w:color="auto"/>
            </w:tcBorders>
            <w:shd w:val="clear" w:color="000000" w:fill="FFF2CC"/>
            <w:vAlign w:val="bottom"/>
            <w:hideMark/>
          </w:tcPr>
          <w:p w14:paraId="71A44BFD" w14:textId="77777777" w:rsidR="007259A1" w:rsidRPr="007259A1" w:rsidRDefault="007259A1" w:rsidP="007259A1">
            <w:pPr>
              <w:overflowPunct/>
              <w:autoSpaceDE/>
              <w:autoSpaceDN/>
              <w:adjustRightInd/>
              <w:spacing w:after="0"/>
              <w:jc w:val="left"/>
              <w:textAlignment w:val="auto"/>
              <w:rPr>
                <w:rFonts w:ascii="Calibri" w:hAnsi="Calibri"/>
                <w:color w:val="000000"/>
                <w:sz w:val="22"/>
                <w:szCs w:val="22"/>
                <w:lang w:val="sv-SE" w:eastAsia="sv-SE"/>
              </w:rPr>
            </w:pPr>
            <w:r w:rsidRPr="007259A1">
              <w:rPr>
                <w:rFonts w:ascii="Calibri" w:hAnsi="Calibri"/>
                <w:color w:val="000000"/>
                <w:sz w:val="22"/>
                <w:szCs w:val="22"/>
                <w:lang w:val="sv-SE" w:eastAsia="sv-SE"/>
              </w:rPr>
              <w:t>Rank</w:t>
            </w:r>
          </w:p>
        </w:tc>
        <w:tc>
          <w:tcPr>
            <w:tcW w:w="1602" w:type="dxa"/>
            <w:tcBorders>
              <w:top w:val="single" w:sz="4" w:space="0" w:color="auto"/>
              <w:left w:val="nil"/>
              <w:bottom w:val="single" w:sz="4" w:space="0" w:color="auto"/>
              <w:right w:val="single" w:sz="4" w:space="0" w:color="auto"/>
            </w:tcBorders>
            <w:shd w:val="clear" w:color="000000" w:fill="FFF2CC"/>
            <w:vAlign w:val="bottom"/>
            <w:hideMark/>
          </w:tcPr>
          <w:p w14:paraId="47042E95" w14:textId="77777777" w:rsidR="007259A1" w:rsidRPr="007259A1" w:rsidRDefault="007259A1" w:rsidP="007259A1">
            <w:pPr>
              <w:overflowPunct/>
              <w:autoSpaceDE/>
              <w:autoSpaceDN/>
              <w:adjustRightInd/>
              <w:spacing w:after="0"/>
              <w:jc w:val="center"/>
              <w:textAlignment w:val="auto"/>
              <w:rPr>
                <w:rFonts w:ascii="Calibri" w:hAnsi="Calibri"/>
                <w:color w:val="000000"/>
                <w:sz w:val="22"/>
                <w:szCs w:val="22"/>
                <w:lang w:val="sv-SE" w:eastAsia="sv-SE"/>
              </w:rPr>
            </w:pPr>
            <w:r w:rsidRPr="007259A1">
              <w:rPr>
                <w:rFonts w:ascii="Calibri" w:hAnsi="Calibri"/>
                <w:color w:val="000000"/>
                <w:sz w:val="22"/>
                <w:szCs w:val="22"/>
                <w:lang w:val="sv-SE" w:eastAsia="sv-SE"/>
              </w:rPr>
              <w:t>DMRS port ID (+1000)</w:t>
            </w:r>
          </w:p>
        </w:tc>
        <w:tc>
          <w:tcPr>
            <w:tcW w:w="907" w:type="dxa"/>
            <w:tcBorders>
              <w:top w:val="single" w:sz="4" w:space="0" w:color="auto"/>
              <w:left w:val="nil"/>
              <w:bottom w:val="single" w:sz="4" w:space="0" w:color="auto"/>
              <w:right w:val="single" w:sz="4" w:space="0" w:color="auto"/>
            </w:tcBorders>
            <w:shd w:val="clear" w:color="000000" w:fill="FFF2CC"/>
            <w:vAlign w:val="bottom"/>
            <w:hideMark/>
          </w:tcPr>
          <w:p w14:paraId="067BE5C5" w14:textId="77777777" w:rsidR="007259A1" w:rsidRPr="007259A1" w:rsidRDefault="007259A1" w:rsidP="007259A1">
            <w:pPr>
              <w:overflowPunct/>
              <w:autoSpaceDE/>
              <w:autoSpaceDN/>
              <w:adjustRightInd/>
              <w:spacing w:after="0"/>
              <w:jc w:val="left"/>
              <w:textAlignment w:val="auto"/>
              <w:rPr>
                <w:rFonts w:ascii="Calibri" w:hAnsi="Calibri"/>
                <w:color w:val="000000"/>
                <w:sz w:val="22"/>
                <w:szCs w:val="22"/>
                <w:lang w:val="en-US" w:eastAsia="sv-SE"/>
              </w:rPr>
            </w:pPr>
            <w:r w:rsidRPr="007259A1">
              <w:rPr>
                <w:rFonts w:ascii="Calibri" w:hAnsi="Calibri"/>
                <w:color w:val="000000"/>
                <w:sz w:val="22"/>
                <w:szCs w:val="22"/>
                <w:lang w:val="en-US" w:eastAsia="sv-SE"/>
              </w:rPr>
              <w:t>Map PDSCH to other CDM group</w:t>
            </w:r>
          </w:p>
        </w:tc>
        <w:tc>
          <w:tcPr>
            <w:tcW w:w="1129" w:type="dxa"/>
            <w:tcBorders>
              <w:top w:val="single" w:sz="4" w:space="0" w:color="auto"/>
              <w:left w:val="nil"/>
              <w:bottom w:val="single" w:sz="4" w:space="0" w:color="auto"/>
              <w:right w:val="single" w:sz="4" w:space="0" w:color="auto"/>
            </w:tcBorders>
            <w:shd w:val="clear" w:color="000000" w:fill="FFF2CC"/>
            <w:vAlign w:val="bottom"/>
            <w:hideMark/>
          </w:tcPr>
          <w:p w14:paraId="5A2A6FA9" w14:textId="77777777" w:rsidR="007259A1" w:rsidRPr="007259A1" w:rsidRDefault="007259A1" w:rsidP="007259A1">
            <w:pPr>
              <w:overflowPunct/>
              <w:autoSpaceDE/>
              <w:autoSpaceDN/>
              <w:adjustRightInd/>
              <w:spacing w:after="0"/>
              <w:jc w:val="left"/>
              <w:textAlignment w:val="auto"/>
              <w:rPr>
                <w:rFonts w:ascii="Calibri" w:hAnsi="Calibri"/>
                <w:color w:val="000000"/>
                <w:sz w:val="22"/>
                <w:szCs w:val="22"/>
                <w:lang w:val="en-US" w:eastAsia="sv-SE"/>
              </w:rPr>
            </w:pPr>
            <w:r w:rsidRPr="007259A1">
              <w:rPr>
                <w:rFonts w:ascii="Calibri" w:hAnsi="Calibri"/>
                <w:color w:val="000000"/>
                <w:sz w:val="22"/>
                <w:szCs w:val="22"/>
                <w:lang w:val="en-US" w:eastAsia="sv-SE"/>
              </w:rPr>
              <w:t>Remaining ports in used CDM group(s) active</w:t>
            </w:r>
          </w:p>
        </w:tc>
        <w:tc>
          <w:tcPr>
            <w:tcW w:w="654" w:type="dxa"/>
            <w:tcBorders>
              <w:top w:val="single" w:sz="4" w:space="0" w:color="auto"/>
              <w:left w:val="nil"/>
              <w:bottom w:val="single" w:sz="4" w:space="0" w:color="auto"/>
              <w:right w:val="single" w:sz="4" w:space="0" w:color="auto"/>
            </w:tcBorders>
            <w:shd w:val="clear" w:color="000000" w:fill="FFF2CC"/>
            <w:vAlign w:val="bottom"/>
            <w:hideMark/>
          </w:tcPr>
          <w:p w14:paraId="290A8FF8" w14:textId="77777777" w:rsidR="007259A1" w:rsidRPr="007259A1" w:rsidRDefault="007259A1" w:rsidP="007259A1">
            <w:pPr>
              <w:overflowPunct/>
              <w:autoSpaceDE/>
              <w:autoSpaceDN/>
              <w:adjustRightInd/>
              <w:spacing w:after="0"/>
              <w:jc w:val="center"/>
              <w:textAlignment w:val="auto"/>
              <w:rPr>
                <w:rFonts w:ascii="Calibri" w:hAnsi="Calibri"/>
                <w:color w:val="000000"/>
                <w:sz w:val="22"/>
                <w:szCs w:val="22"/>
                <w:lang w:val="sv-SE" w:eastAsia="sv-SE"/>
              </w:rPr>
            </w:pPr>
            <w:r w:rsidRPr="007259A1">
              <w:rPr>
                <w:rFonts w:ascii="Calibri" w:hAnsi="Calibri"/>
                <w:color w:val="000000"/>
                <w:sz w:val="22"/>
                <w:szCs w:val="22"/>
                <w:lang w:val="sv-SE" w:eastAsia="sv-SE"/>
              </w:rPr>
              <w:t># Front loaded symb</w:t>
            </w:r>
          </w:p>
        </w:tc>
        <w:tc>
          <w:tcPr>
            <w:tcW w:w="916" w:type="dxa"/>
            <w:tcBorders>
              <w:top w:val="single" w:sz="4" w:space="0" w:color="auto"/>
              <w:left w:val="nil"/>
              <w:bottom w:val="single" w:sz="4" w:space="0" w:color="auto"/>
              <w:right w:val="single" w:sz="4" w:space="0" w:color="auto"/>
            </w:tcBorders>
            <w:shd w:val="clear" w:color="000000" w:fill="FFF2CC"/>
            <w:vAlign w:val="bottom"/>
            <w:hideMark/>
          </w:tcPr>
          <w:p w14:paraId="1541F450" w14:textId="77777777" w:rsidR="007259A1" w:rsidRPr="007259A1" w:rsidRDefault="007259A1" w:rsidP="007259A1">
            <w:pPr>
              <w:overflowPunct/>
              <w:autoSpaceDE/>
              <w:autoSpaceDN/>
              <w:adjustRightInd/>
              <w:spacing w:after="0"/>
              <w:jc w:val="center"/>
              <w:textAlignment w:val="auto"/>
              <w:rPr>
                <w:rFonts w:ascii="Calibri" w:hAnsi="Calibri"/>
                <w:color w:val="000000"/>
                <w:sz w:val="22"/>
                <w:szCs w:val="22"/>
                <w:lang w:val="sv-SE" w:eastAsia="sv-SE"/>
              </w:rPr>
            </w:pPr>
            <w:r w:rsidRPr="007259A1">
              <w:rPr>
                <w:rFonts w:ascii="Calibri" w:hAnsi="Calibri"/>
                <w:color w:val="000000"/>
                <w:sz w:val="22"/>
                <w:szCs w:val="22"/>
                <w:lang w:val="sv-SE" w:eastAsia="sv-SE"/>
              </w:rPr>
              <w:t>PTRS subcarrier k={0,..,11}</w:t>
            </w:r>
          </w:p>
        </w:tc>
      </w:tr>
      <w:tr w:rsidR="007259A1" w:rsidRPr="007259A1" w14:paraId="5969DABC"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0D9E675B"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c>
          <w:tcPr>
            <w:tcW w:w="763" w:type="dxa"/>
            <w:tcBorders>
              <w:top w:val="nil"/>
              <w:left w:val="nil"/>
              <w:bottom w:val="single" w:sz="4" w:space="0" w:color="auto"/>
              <w:right w:val="single" w:sz="4" w:space="0" w:color="auto"/>
            </w:tcBorders>
            <w:shd w:val="clear" w:color="000000" w:fill="F2F2F2"/>
            <w:noWrap/>
            <w:vAlign w:val="bottom"/>
            <w:hideMark/>
          </w:tcPr>
          <w:p w14:paraId="10EFCF2D"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1602" w:type="dxa"/>
            <w:tcBorders>
              <w:top w:val="nil"/>
              <w:left w:val="nil"/>
              <w:bottom w:val="single" w:sz="4" w:space="0" w:color="auto"/>
              <w:right w:val="single" w:sz="4" w:space="0" w:color="auto"/>
            </w:tcBorders>
            <w:shd w:val="clear" w:color="000000" w:fill="F2F2F2"/>
            <w:noWrap/>
            <w:vAlign w:val="bottom"/>
            <w:hideMark/>
          </w:tcPr>
          <w:p w14:paraId="5AEB9EE7"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c>
          <w:tcPr>
            <w:tcW w:w="907" w:type="dxa"/>
            <w:tcBorders>
              <w:top w:val="nil"/>
              <w:left w:val="nil"/>
              <w:bottom w:val="single" w:sz="4" w:space="0" w:color="auto"/>
              <w:right w:val="single" w:sz="4" w:space="0" w:color="auto"/>
            </w:tcBorders>
            <w:shd w:val="clear" w:color="000000" w:fill="F2F2F2"/>
            <w:noWrap/>
            <w:vAlign w:val="bottom"/>
            <w:hideMark/>
          </w:tcPr>
          <w:p w14:paraId="1C3BEE8B"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1129" w:type="dxa"/>
            <w:tcBorders>
              <w:top w:val="nil"/>
              <w:left w:val="nil"/>
              <w:bottom w:val="single" w:sz="4" w:space="0" w:color="auto"/>
              <w:right w:val="single" w:sz="4" w:space="0" w:color="auto"/>
            </w:tcBorders>
            <w:shd w:val="clear" w:color="000000" w:fill="F2F2F2"/>
            <w:noWrap/>
            <w:vAlign w:val="bottom"/>
            <w:hideMark/>
          </w:tcPr>
          <w:p w14:paraId="423B102E"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nil"/>
              <w:left w:val="nil"/>
              <w:bottom w:val="single" w:sz="4" w:space="0" w:color="auto"/>
              <w:right w:val="single" w:sz="4" w:space="0" w:color="auto"/>
            </w:tcBorders>
            <w:shd w:val="clear" w:color="000000" w:fill="F2F2F2"/>
            <w:noWrap/>
            <w:vAlign w:val="bottom"/>
            <w:hideMark/>
          </w:tcPr>
          <w:p w14:paraId="6EE88BB3"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916" w:type="dxa"/>
            <w:tcBorders>
              <w:top w:val="nil"/>
              <w:left w:val="nil"/>
              <w:bottom w:val="single" w:sz="4" w:space="0" w:color="auto"/>
              <w:right w:val="single" w:sz="4" w:space="0" w:color="auto"/>
            </w:tcBorders>
            <w:shd w:val="clear" w:color="000000" w:fill="F2F2F2"/>
            <w:noWrap/>
            <w:vAlign w:val="bottom"/>
            <w:hideMark/>
          </w:tcPr>
          <w:p w14:paraId="6A444DCE"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36714362"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4CF944A6"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763" w:type="dxa"/>
            <w:tcBorders>
              <w:top w:val="nil"/>
              <w:left w:val="nil"/>
              <w:bottom w:val="single" w:sz="4" w:space="0" w:color="auto"/>
              <w:right w:val="single" w:sz="4" w:space="0" w:color="auto"/>
            </w:tcBorders>
            <w:shd w:val="clear" w:color="000000" w:fill="F2F2F2"/>
            <w:noWrap/>
            <w:vAlign w:val="bottom"/>
            <w:hideMark/>
          </w:tcPr>
          <w:p w14:paraId="11CB72CB"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1602" w:type="dxa"/>
            <w:tcBorders>
              <w:top w:val="nil"/>
              <w:left w:val="nil"/>
              <w:bottom w:val="single" w:sz="4" w:space="0" w:color="auto"/>
              <w:right w:val="single" w:sz="4" w:space="0" w:color="auto"/>
            </w:tcBorders>
            <w:shd w:val="clear" w:color="000000" w:fill="F2F2F2"/>
            <w:noWrap/>
            <w:vAlign w:val="bottom"/>
            <w:hideMark/>
          </w:tcPr>
          <w:p w14:paraId="44FF8B18"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c>
          <w:tcPr>
            <w:tcW w:w="907" w:type="dxa"/>
            <w:tcBorders>
              <w:top w:val="nil"/>
              <w:left w:val="nil"/>
              <w:bottom w:val="single" w:sz="4" w:space="0" w:color="auto"/>
              <w:right w:val="single" w:sz="4" w:space="0" w:color="auto"/>
            </w:tcBorders>
            <w:shd w:val="clear" w:color="000000" w:fill="F2F2F2"/>
            <w:noWrap/>
            <w:vAlign w:val="bottom"/>
            <w:hideMark/>
          </w:tcPr>
          <w:p w14:paraId="1A87FE26"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1129" w:type="dxa"/>
            <w:tcBorders>
              <w:top w:val="nil"/>
              <w:left w:val="nil"/>
              <w:bottom w:val="single" w:sz="4" w:space="0" w:color="auto"/>
              <w:right w:val="single" w:sz="4" w:space="0" w:color="auto"/>
            </w:tcBorders>
            <w:shd w:val="clear" w:color="000000" w:fill="F2F2F2"/>
            <w:noWrap/>
            <w:vAlign w:val="bottom"/>
            <w:hideMark/>
          </w:tcPr>
          <w:p w14:paraId="6E2DB6E4"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F2F2F2"/>
            <w:noWrap/>
            <w:vAlign w:val="bottom"/>
            <w:hideMark/>
          </w:tcPr>
          <w:p w14:paraId="6ACE46C8"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916" w:type="dxa"/>
            <w:tcBorders>
              <w:top w:val="nil"/>
              <w:left w:val="nil"/>
              <w:bottom w:val="single" w:sz="4" w:space="0" w:color="auto"/>
              <w:right w:val="single" w:sz="4" w:space="0" w:color="auto"/>
            </w:tcBorders>
            <w:shd w:val="clear" w:color="000000" w:fill="F2F2F2"/>
            <w:noWrap/>
            <w:vAlign w:val="bottom"/>
            <w:hideMark/>
          </w:tcPr>
          <w:p w14:paraId="067E4D89"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36D26B7C"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3232CC70"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763" w:type="dxa"/>
            <w:tcBorders>
              <w:top w:val="nil"/>
              <w:left w:val="nil"/>
              <w:bottom w:val="single" w:sz="4" w:space="0" w:color="auto"/>
              <w:right w:val="single" w:sz="4" w:space="0" w:color="auto"/>
            </w:tcBorders>
            <w:shd w:val="clear" w:color="000000" w:fill="F2F2F2"/>
            <w:noWrap/>
            <w:vAlign w:val="bottom"/>
            <w:hideMark/>
          </w:tcPr>
          <w:p w14:paraId="61D9A340"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1602" w:type="dxa"/>
            <w:tcBorders>
              <w:top w:val="nil"/>
              <w:left w:val="nil"/>
              <w:bottom w:val="single" w:sz="4" w:space="0" w:color="auto"/>
              <w:right w:val="single" w:sz="4" w:space="0" w:color="auto"/>
            </w:tcBorders>
            <w:shd w:val="clear" w:color="000000" w:fill="F2F2F2"/>
            <w:noWrap/>
            <w:vAlign w:val="bottom"/>
            <w:hideMark/>
          </w:tcPr>
          <w:p w14:paraId="7558C1C9"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c>
          <w:tcPr>
            <w:tcW w:w="907" w:type="dxa"/>
            <w:tcBorders>
              <w:top w:val="nil"/>
              <w:left w:val="nil"/>
              <w:bottom w:val="single" w:sz="4" w:space="0" w:color="auto"/>
              <w:right w:val="single" w:sz="4" w:space="0" w:color="auto"/>
            </w:tcBorders>
            <w:shd w:val="clear" w:color="000000" w:fill="F2F2F2"/>
            <w:noWrap/>
            <w:vAlign w:val="bottom"/>
            <w:hideMark/>
          </w:tcPr>
          <w:p w14:paraId="690F3FAB"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F2F2F2"/>
            <w:noWrap/>
            <w:vAlign w:val="bottom"/>
            <w:hideMark/>
          </w:tcPr>
          <w:p w14:paraId="090A6282"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nil"/>
              <w:left w:val="nil"/>
              <w:bottom w:val="single" w:sz="4" w:space="0" w:color="auto"/>
              <w:right w:val="single" w:sz="4" w:space="0" w:color="auto"/>
            </w:tcBorders>
            <w:shd w:val="clear" w:color="000000" w:fill="F2F2F2"/>
            <w:noWrap/>
            <w:vAlign w:val="bottom"/>
            <w:hideMark/>
          </w:tcPr>
          <w:p w14:paraId="6E71D177"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916" w:type="dxa"/>
            <w:tcBorders>
              <w:top w:val="nil"/>
              <w:left w:val="nil"/>
              <w:bottom w:val="single" w:sz="4" w:space="0" w:color="auto"/>
              <w:right w:val="single" w:sz="4" w:space="0" w:color="auto"/>
            </w:tcBorders>
            <w:shd w:val="clear" w:color="000000" w:fill="F2F2F2"/>
            <w:noWrap/>
            <w:vAlign w:val="bottom"/>
            <w:hideMark/>
          </w:tcPr>
          <w:p w14:paraId="1F7DC3EF"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04860C2F"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41724EB6"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w:t>
            </w:r>
          </w:p>
        </w:tc>
        <w:tc>
          <w:tcPr>
            <w:tcW w:w="763" w:type="dxa"/>
            <w:tcBorders>
              <w:top w:val="nil"/>
              <w:left w:val="nil"/>
              <w:bottom w:val="single" w:sz="4" w:space="0" w:color="auto"/>
              <w:right w:val="single" w:sz="4" w:space="0" w:color="auto"/>
            </w:tcBorders>
            <w:shd w:val="clear" w:color="000000" w:fill="F2F2F2"/>
            <w:noWrap/>
            <w:vAlign w:val="bottom"/>
            <w:hideMark/>
          </w:tcPr>
          <w:p w14:paraId="59426DB6"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1602" w:type="dxa"/>
            <w:tcBorders>
              <w:top w:val="nil"/>
              <w:left w:val="nil"/>
              <w:bottom w:val="single" w:sz="4" w:space="0" w:color="auto"/>
              <w:right w:val="single" w:sz="4" w:space="0" w:color="auto"/>
            </w:tcBorders>
            <w:shd w:val="clear" w:color="000000" w:fill="F2F2F2"/>
            <w:noWrap/>
            <w:vAlign w:val="bottom"/>
            <w:hideMark/>
          </w:tcPr>
          <w:p w14:paraId="6477D7E6"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c>
          <w:tcPr>
            <w:tcW w:w="907" w:type="dxa"/>
            <w:tcBorders>
              <w:top w:val="nil"/>
              <w:left w:val="nil"/>
              <w:bottom w:val="single" w:sz="4" w:space="0" w:color="auto"/>
              <w:right w:val="single" w:sz="4" w:space="0" w:color="auto"/>
            </w:tcBorders>
            <w:shd w:val="clear" w:color="000000" w:fill="F2F2F2"/>
            <w:noWrap/>
            <w:vAlign w:val="bottom"/>
            <w:hideMark/>
          </w:tcPr>
          <w:p w14:paraId="64A28B43"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F2F2F2"/>
            <w:noWrap/>
            <w:vAlign w:val="bottom"/>
            <w:hideMark/>
          </w:tcPr>
          <w:p w14:paraId="4AC57B15"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F2F2F2"/>
            <w:noWrap/>
            <w:vAlign w:val="bottom"/>
            <w:hideMark/>
          </w:tcPr>
          <w:p w14:paraId="150FA421"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916" w:type="dxa"/>
            <w:tcBorders>
              <w:top w:val="nil"/>
              <w:left w:val="nil"/>
              <w:bottom w:val="single" w:sz="4" w:space="0" w:color="auto"/>
              <w:right w:val="single" w:sz="4" w:space="0" w:color="auto"/>
            </w:tcBorders>
            <w:shd w:val="clear" w:color="000000" w:fill="F2F2F2"/>
            <w:noWrap/>
            <w:vAlign w:val="bottom"/>
            <w:hideMark/>
          </w:tcPr>
          <w:p w14:paraId="1418551E"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203FC736"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258E27F7"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4</w:t>
            </w:r>
          </w:p>
        </w:tc>
        <w:tc>
          <w:tcPr>
            <w:tcW w:w="763" w:type="dxa"/>
            <w:tcBorders>
              <w:top w:val="nil"/>
              <w:left w:val="nil"/>
              <w:bottom w:val="single" w:sz="4" w:space="0" w:color="auto"/>
              <w:right w:val="single" w:sz="4" w:space="0" w:color="auto"/>
            </w:tcBorders>
            <w:shd w:val="clear" w:color="000000" w:fill="F2F2F2"/>
            <w:noWrap/>
            <w:vAlign w:val="bottom"/>
            <w:hideMark/>
          </w:tcPr>
          <w:p w14:paraId="599FEDBE"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1602" w:type="dxa"/>
            <w:tcBorders>
              <w:top w:val="nil"/>
              <w:left w:val="nil"/>
              <w:bottom w:val="single" w:sz="4" w:space="0" w:color="auto"/>
              <w:right w:val="single" w:sz="4" w:space="0" w:color="auto"/>
            </w:tcBorders>
            <w:shd w:val="clear" w:color="000000" w:fill="F2F2F2"/>
            <w:noWrap/>
            <w:vAlign w:val="bottom"/>
            <w:hideMark/>
          </w:tcPr>
          <w:p w14:paraId="67708902"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907" w:type="dxa"/>
            <w:tcBorders>
              <w:top w:val="nil"/>
              <w:left w:val="nil"/>
              <w:bottom w:val="single" w:sz="4" w:space="0" w:color="auto"/>
              <w:right w:val="single" w:sz="4" w:space="0" w:color="auto"/>
            </w:tcBorders>
            <w:shd w:val="clear" w:color="000000" w:fill="F2F2F2"/>
            <w:noWrap/>
            <w:vAlign w:val="bottom"/>
            <w:hideMark/>
          </w:tcPr>
          <w:p w14:paraId="6344FCA6"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F2F2F2"/>
            <w:noWrap/>
            <w:vAlign w:val="bottom"/>
            <w:hideMark/>
          </w:tcPr>
          <w:p w14:paraId="689D4DDC"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F2F2F2"/>
            <w:noWrap/>
            <w:vAlign w:val="bottom"/>
            <w:hideMark/>
          </w:tcPr>
          <w:p w14:paraId="75C0DDCA"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916" w:type="dxa"/>
            <w:tcBorders>
              <w:top w:val="nil"/>
              <w:left w:val="nil"/>
              <w:bottom w:val="single" w:sz="4" w:space="0" w:color="auto"/>
              <w:right w:val="single" w:sz="4" w:space="0" w:color="auto"/>
            </w:tcBorders>
            <w:shd w:val="clear" w:color="000000" w:fill="F2F2F2"/>
            <w:noWrap/>
            <w:vAlign w:val="bottom"/>
            <w:hideMark/>
          </w:tcPr>
          <w:p w14:paraId="03098BAB"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r>
      <w:tr w:rsidR="007259A1" w:rsidRPr="007259A1" w14:paraId="70CA4CCB"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49CA1CEA"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5</w:t>
            </w:r>
          </w:p>
        </w:tc>
        <w:tc>
          <w:tcPr>
            <w:tcW w:w="763" w:type="dxa"/>
            <w:tcBorders>
              <w:top w:val="nil"/>
              <w:left w:val="nil"/>
              <w:bottom w:val="single" w:sz="4" w:space="0" w:color="auto"/>
              <w:right w:val="single" w:sz="4" w:space="0" w:color="auto"/>
            </w:tcBorders>
            <w:shd w:val="clear" w:color="000000" w:fill="F2F2F2"/>
            <w:noWrap/>
            <w:vAlign w:val="bottom"/>
            <w:hideMark/>
          </w:tcPr>
          <w:p w14:paraId="69C4139F"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1602" w:type="dxa"/>
            <w:tcBorders>
              <w:top w:val="nil"/>
              <w:left w:val="nil"/>
              <w:bottom w:val="single" w:sz="4" w:space="0" w:color="auto"/>
              <w:right w:val="single" w:sz="4" w:space="0" w:color="auto"/>
            </w:tcBorders>
            <w:shd w:val="clear" w:color="000000" w:fill="F2F2F2"/>
            <w:noWrap/>
            <w:vAlign w:val="bottom"/>
            <w:hideMark/>
          </w:tcPr>
          <w:p w14:paraId="2231BA11"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07" w:type="dxa"/>
            <w:tcBorders>
              <w:top w:val="nil"/>
              <w:left w:val="nil"/>
              <w:bottom w:val="single" w:sz="4" w:space="0" w:color="auto"/>
              <w:right w:val="single" w:sz="4" w:space="0" w:color="auto"/>
            </w:tcBorders>
            <w:shd w:val="clear" w:color="000000" w:fill="F2F2F2"/>
            <w:noWrap/>
            <w:vAlign w:val="bottom"/>
            <w:hideMark/>
          </w:tcPr>
          <w:p w14:paraId="68BBE8F4"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F2F2F2"/>
            <w:noWrap/>
            <w:vAlign w:val="bottom"/>
            <w:hideMark/>
          </w:tcPr>
          <w:p w14:paraId="0BE4BD1F"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F2F2F2"/>
            <w:noWrap/>
            <w:vAlign w:val="bottom"/>
            <w:hideMark/>
          </w:tcPr>
          <w:p w14:paraId="613817FD"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916" w:type="dxa"/>
            <w:tcBorders>
              <w:top w:val="nil"/>
              <w:left w:val="nil"/>
              <w:bottom w:val="single" w:sz="4" w:space="0" w:color="auto"/>
              <w:right w:val="single" w:sz="4" w:space="0" w:color="auto"/>
            </w:tcBorders>
            <w:shd w:val="clear" w:color="000000" w:fill="F2F2F2"/>
            <w:noWrap/>
            <w:vAlign w:val="bottom"/>
            <w:hideMark/>
          </w:tcPr>
          <w:p w14:paraId="3FFD3AEC"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r>
      <w:tr w:rsidR="007259A1" w:rsidRPr="007259A1" w14:paraId="7F216B55"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1BF0F884"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6</w:t>
            </w:r>
          </w:p>
        </w:tc>
        <w:tc>
          <w:tcPr>
            <w:tcW w:w="763" w:type="dxa"/>
            <w:tcBorders>
              <w:top w:val="nil"/>
              <w:left w:val="nil"/>
              <w:bottom w:val="single" w:sz="8" w:space="0" w:color="auto"/>
              <w:right w:val="single" w:sz="4" w:space="0" w:color="auto"/>
            </w:tcBorders>
            <w:shd w:val="clear" w:color="000000" w:fill="F2F2F2"/>
            <w:noWrap/>
            <w:vAlign w:val="bottom"/>
            <w:hideMark/>
          </w:tcPr>
          <w:p w14:paraId="067AA1AB"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1602" w:type="dxa"/>
            <w:tcBorders>
              <w:top w:val="nil"/>
              <w:left w:val="nil"/>
              <w:bottom w:val="single" w:sz="8" w:space="0" w:color="auto"/>
              <w:right w:val="single" w:sz="4" w:space="0" w:color="auto"/>
            </w:tcBorders>
            <w:shd w:val="clear" w:color="000000" w:fill="F2F2F2"/>
            <w:noWrap/>
            <w:vAlign w:val="bottom"/>
            <w:hideMark/>
          </w:tcPr>
          <w:p w14:paraId="2998DC10"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w:t>
            </w:r>
          </w:p>
        </w:tc>
        <w:tc>
          <w:tcPr>
            <w:tcW w:w="907" w:type="dxa"/>
            <w:tcBorders>
              <w:top w:val="nil"/>
              <w:left w:val="nil"/>
              <w:bottom w:val="single" w:sz="8" w:space="0" w:color="auto"/>
              <w:right w:val="single" w:sz="4" w:space="0" w:color="auto"/>
            </w:tcBorders>
            <w:shd w:val="clear" w:color="000000" w:fill="F2F2F2"/>
            <w:noWrap/>
            <w:vAlign w:val="bottom"/>
            <w:hideMark/>
          </w:tcPr>
          <w:p w14:paraId="683F1B77"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8" w:space="0" w:color="auto"/>
              <w:right w:val="single" w:sz="4" w:space="0" w:color="auto"/>
            </w:tcBorders>
            <w:shd w:val="clear" w:color="000000" w:fill="F2F2F2"/>
            <w:noWrap/>
            <w:vAlign w:val="bottom"/>
            <w:hideMark/>
          </w:tcPr>
          <w:p w14:paraId="580D9346"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8" w:space="0" w:color="auto"/>
              <w:right w:val="single" w:sz="4" w:space="0" w:color="auto"/>
            </w:tcBorders>
            <w:shd w:val="clear" w:color="000000" w:fill="F2F2F2"/>
            <w:noWrap/>
            <w:vAlign w:val="bottom"/>
            <w:hideMark/>
          </w:tcPr>
          <w:p w14:paraId="1BD7C59D"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916" w:type="dxa"/>
            <w:tcBorders>
              <w:top w:val="nil"/>
              <w:left w:val="nil"/>
              <w:bottom w:val="single" w:sz="8" w:space="0" w:color="auto"/>
              <w:right w:val="single" w:sz="4" w:space="0" w:color="auto"/>
            </w:tcBorders>
            <w:shd w:val="clear" w:color="000000" w:fill="F2F2F2"/>
            <w:noWrap/>
            <w:vAlign w:val="bottom"/>
            <w:hideMark/>
          </w:tcPr>
          <w:p w14:paraId="3FC4E211"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w:t>
            </w:r>
          </w:p>
        </w:tc>
      </w:tr>
      <w:tr w:rsidR="007259A1" w:rsidRPr="007259A1" w14:paraId="5585670C"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401F8ED2"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lastRenderedPageBreak/>
              <w:t>7</w:t>
            </w:r>
          </w:p>
        </w:tc>
        <w:tc>
          <w:tcPr>
            <w:tcW w:w="763" w:type="dxa"/>
            <w:tcBorders>
              <w:top w:val="nil"/>
              <w:left w:val="nil"/>
              <w:bottom w:val="single" w:sz="4" w:space="0" w:color="auto"/>
              <w:right w:val="single" w:sz="4" w:space="0" w:color="auto"/>
            </w:tcBorders>
            <w:shd w:val="clear" w:color="000000" w:fill="F2F2F2"/>
            <w:noWrap/>
            <w:vAlign w:val="bottom"/>
            <w:hideMark/>
          </w:tcPr>
          <w:p w14:paraId="15B6DA58"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1602" w:type="dxa"/>
            <w:tcBorders>
              <w:top w:val="nil"/>
              <w:left w:val="nil"/>
              <w:bottom w:val="single" w:sz="4" w:space="0" w:color="auto"/>
              <w:right w:val="single" w:sz="4" w:space="0" w:color="auto"/>
            </w:tcBorders>
            <w:shd w:val="clear" w:color="000000" w:fill="F2F2F2"/>
            <w:noWrap/>
            <w:vAlign w:val="bottom"/>
            <w:hideMark/>
          </w:tcPr>
          <w:p w14:paraId="22E32375"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0,1</w:t>
            </w:r>
          </w:p>
        </w:tc>
        <w:tc>
          <w:tcPr>
            <w:tcW w:w="907" w:type="dxa"/>
            <w:tcBorders>
              <w:top w:val="nil"/>
              <w:left w:val="nil"/>
              <w:bottom w:val="single" w:sz="4" w:space="0" w:color="auto"/>
              <w:right w:val="single" w:sz="4" w:space="0" w:color="auto"/>
            </w:tcBorders>
            <w:shd w:val="clear" w:color="000000" w:fill="F2F2F2"/>
            <w:noWrap/>
            <w:vAlign w:val="bottom"/>
            <w:hideMark/>
          </w:tcPr>
          <w:p w14:paraId="7ED40FE6"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1129" w:type="dxa"/>
            <w:tcBorders>
              <w:top w:val="nil"/>
              <w:left w:val="nil"/>
              <w:bottom w:val="single" w:sz="4" w:space="0" w:color="auto"/>
              <w:right w:val="single" w:sz="4" w:space="0" w:color="auto"/>
            </w:tcBorders>
            <w:shd w:val="clear" w:color="000000" w:fill="F2F2F2"/>
            <w:noWrap/>
            <w:vAlign w:val="bottom"/>
            <w:hideMark/>
          </w:tcPr>
          <w:p w14:paraId="2872E6F0"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654" w:type="dxa"/>
            <w:tcBorders>
              <w:top w:val="nil"/>
              <w:left w:val="nil"/>
              <w:bottom w:val="single" w:sz="4" w:space="0" w:color="auto"/>
              <w:right w:val="single" w:sz="4" w:space="0" w:color="auto"/>
            </w:tcBorders>
            <w:shd w:val="clear" w:color="000000" w:fill="F2F2F2"/>
            <w:noWrap/>
            <w:vAlign w:val="bottom"/>
            <w:hideMark/>
          </w:tcPr>
          <w:p w14:paraId="5B124CBE"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916" w:type="dxa"/>
            <w:tcBorders>
              <w:top w:val="nil"/>
              <w:left w:val="nil"/>
              <w:bottom w:val="single" w:sz="4" w:space="0" w:color="auto"/>
              <w:right w:val="single" w:sz="4" w:space="0" w:color="auto"/>
            </w:tcBorders>
            <w:shd w:val="clear" w:color="000000" w:fill="F2F2F2"/>
            <w:noWrap/>
            <w:vAlign w:val="bottom"/>
            <w:hideMark/>
          </w:tcPr>
          <w:p w14:paraId="681700C5"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7FFD571D"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79CF1D42"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8</w:t>
            </w:r>
          </w:p>
        </w:tc>
        <w:tc>
          <w:tcPr>
            <w:tcW w:w="763" w:type="dxa"/>
            <w:tcBorders>
              <w:top w:val="nil"/>
              <w:left w:val="nil"/>
              <w:bottom w:val="single" w:sz="4" w:space="0" w:color="auto"/>
              <w:right w:val="single" w:sz="4" w:space="0" w:color="auto"/>
            </w:tcBorders>
            <w:shd w:val="clear" w:color="000000" w:fill="F2F2F2"/>
            <w:noWrap/>
            <w:vAlign w:val="bottom"/>
            <w:hideMark/>
          </w:tcPr>
          <w:p w14:paraId="19A26E61"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1602" w:type="dxa"/>
            <w:tcBorders>
              <w:top w:val="nil"/>
              <w:left w:val="nil"/>
              <w:bottom w:val="single" w:sz="4" w:space="0" w:color="auto"/>
              <w:right w:val="single" w:sz="4" w:space="0" w:color="auto"/>
            </w:tcBorders>
            <w:shd w:val="clear" w:color="000000" w:fill="F2F2F2"/>
            <w:noWrap/>
            <w:vAlign w:val="bottom"/>
            <w:hideMark/>
          </w:tcPr>
          <w:p w14:paraId="07714D64"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0,1</w:t>
            </w:r>
          </w:p>
        </w:tc>
        <w:tc>
          <w:tcPr>
            <w:tcW w:w="907" w:type="dxa"/>
            <w:tcBorders>
              <w:top w:val="nil"/>
              <w:left w:val="nil"/>
              <w:bottom w:val="single" w:sz="4" w:space="0" w:color="auto"/>
              <w:right w:val="single" w:sz="4" w:space="0" w:color="auto"/>
            </w:tcBorders>
            <w:shd w:val="clear" w:color="000000" w:fill="F2F2F2"/>
            <w:noWrap/>
            <w:vAlign w:val="bottom"/>
            <w:hideMark/>
          </w:tcPr>
          <w:p w14:paraId="20B2BA1D"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F2F2F2"/>
            <w:noWrap/>
            <w:vAlign w:val="bottom"/>
            <w:hideMark/>
          </w:tcPr>
          <w:p w14:paraId="039ABAA3"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654" w:type="dxa"/>
            <w:tcBorders>
              <w:top w:val="nil"/>
              <w:left w:val="nil"/>
              <w:bottom w:val="single" w:sz="4" w:space="0" w:color="auto"/>
              <w:right w:val="single" w:sz="4" w:space="0" w:color="auto"/>
            </w:tcBorders>
            <w:shd w:val="clear" w:color="000000" w:fill="F2F2F2"/>
            <w:noWrap/>
            <w:vAlign w:val="bottom"/>
            <w:hideMark/>
          </w:tcPr>
          <w:p w14:paraId="61F6B95C"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916" w:type="dxa"/>
            <w:tcBorders>
              <w:top w:val="nil"/>
              <w:left w:val="nil"/>
              <w:bottom w:val="single" w:sz="4" w:space="0" w:color="auto"/>
              <w:right w:val="single" w:sz="4" w:space="0" w:color="auto"/>
            </w:tcBorders>
            <w:shd w:val="clear" w:color="000000" w:fill="F2F2F2"/>
            <w:noWrap/>
            <w:vAlign w:val="bottom"/>
            <w:hideMark/>
          </w:tcPr>
          <w:p w14:paraId="5131D676"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72774A22"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3503E31B"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9</w:t>
            </w:r>
          </w:p>
        </w:tc>
        <w:tc>
          <w:tcPr>
            <w:tcW w:w="763" w:type="dxa"/>
            <w:tcBorders>
              <w:top w:val="nil"/>
              <w:left w:val="nil"/>
              <w:bottom w:val="single" w:sz="4" w:space="0" w:color="auto"/>
              <w:right w:val="single" w:sz="4" w:space="0" w:color="auto"/>
            </w:tcBorders>
            <w:shd w:val="clear" w:color="000000" w:fill="F2F2F2"/>
            <w:noWrap/>
            <w:vAlign w:val="bottom"/>
            <w:hideMark/>
          </w:tcPr>
          <w:p w14:paraId="712C481D"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1602" w:type="dxa"/>
            <w:tcBorders>
              <w:top w:val="nil"/>
              <w:left w:val="nil"/>
              <w:bottom w:val="single" w:sz="4" w:space="0" w:color="auto"/>
              <w:right w:val="single" w:sz="4" w:space="0" w:color="auto"/>
            </w:tcBorders>
            <w:shd w:val="clear" w:color="000000" w:fill="F2F2F2"/>
            <w:noWrap/>
            <w:vAlign w:val="bottom"/>
            <w:hideMark/>
          </w:tcPr>
          <w:p w14:paraId="4AD78169"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2,3</w:t>
            </w:r>
          </w:p>
        </w:tc>
        <w:tc>
          <w:tcPr>
            <w:tcW w:w="907" w:type="dxa"/>
            <w:tcBorders>
              <w:top w:val="nil"/>
              <w:left w:val="nil"/>
              <w:bottom w:val="single" w:sz="4" w:space="0" w:color="auto"/>
              <w:right w:val="single" w:sz="4" w:space="0" w:color="auto"/>
            </w:tcBorders>
            <w:shd w:val="clear" w:color="000000" w:fill="F2F2F2"/>
            <w:noWrap/>
            <w:vAlign w:val="bottom"/>
            <w:hideMark/>
          </w:tcPr>
          <w:p w14:paraId="488C832B"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F2F2F2"/>
            <w:noWrap/>
            <w:vAlign w:val="bottom"/>
            <w:hideMark/>
          </w:tcPr>
          <w:p w14:paraId="5190E349"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654" w:type="dxa"/>
            <w:tcBorders>
              <w:top w:val="nil"/>
              <w:left w:val="nil"/>
              <w:bottom w:val="single" w:sz="4" w:space="0" w:color="auto"/>
              <w:right w:val="single" w:sz="4" w:space="0" w:color="auto"/>
            </w:tcBorders>
            <w:shd w:val="clear" w:color="000000" w:fill="F2F2F2"/>
            <w:noWrap/>
            <w:vAlign w:val="bottom"/>
            <w:hideMark/>
          </w:tcPr>
          <w:p w14:paraId="3E6C391E"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916" w:type="dxa"/>
            <w:tcBorders>
              <w:top w:val="nil"/>
              <w:left w:val="nil"/>
              <w:bottom w:val="single" w:sz="4" w:space="0" w:color="auto"/>
              <w:right w:val="single" w:sz="4" w:space="0" w:color="auto"/>
            </w:tcBorders>
            <w:shd w:val="clear" w:color="000000" w:fill="F2F2F2"/>
            <w:noWrap/>
            <w:vAlign w:val="bottom"/>
            <w:hideMark/>
          </w:tcPr>
          <w:p w14:paraId="58D80652"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r>
      <w:tr w:rsidR="007259A1" w:rsidRPr="007259A1" w14:paraId="69CDAF5A"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6563EC17"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10</w:t>
            </w:r>
          </w:p>
        </w:tc>
        <w:tc>
          <w:tcPr>
            <w:tcW w:w="763" w:type="dxa"/>
            <w:tcBorders>
              <w:top w:val="nil"/>
              <w:left w:val="nil"/>
              <w:bottom w:val="single" w:sz="4" w:space="0" w:color="auto"/>
              <w:right w:val="single" w:sz="4" w:space="0" w:color="auto"/>
            </w:tcBorders>
            <w:shd w:val="clear" w:color="000000" w:fill="F2F2F2"/>
            <w:noWrap/>
            <w:vAlign w:val="bottom"/>
            <w:hideMark/>
          </w:tcPr>
          <w:p w14:paraId="4565245E"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1602" w:type="dxa"/>
            <w:tcBorders>
              <w:top w:val="nil"/>
              <w:left w:val="nil"/>
              <w:bottom w:val="single" w:sz="4" w:space="0" w:color="auto"/>
              <w:right w:val="single" w:sz="4" w:space="0" w:color="auto"/>
            </w:tcBorders>
            <w:shd w:val="clear" w:color="000000" w:fill="F2F2F2"/>
            <w:noWrap/>
            <w:vAlign w:val="bottom"/>
            <w:hideMark/>
          </w:tcPr>
          <w:p w14:paraId="54310735"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0,2</w:t>
            </w:r>
          </w:p>
        </w:tc>
        <w:tc>
          <w:tcPr>
            <w:tcW w:w="907" w:type="dxa"/>
            <w:tcBorders>
              <w:top w:val="nil"/>
              <w:left w:val="nil"/>
              <w:bottom w:val="single" w:sz="4" w:space="0" w:color="auto"/>
              <w:right w:val="single" w:sz="4" w:space="0" w:color="auto"/>
            </w:tcBorders>
            <w:shd w:val="clear" w:color="000000" w:fill="F2F2F2"/>
            <w:noWrap/>
            <w:vAlign w:val="bottom"/>
            <w:hideMark/>
          </w:tcPr>
          <w:p w14:paraId="77EE6D05"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1129" w:type="dxa"/>
            <w:tcBorders>
              <w:top w:val="nil"/>
              <w:left w:val="nil"/>
              <w:bottom w:val="single" w:sz="4" w:space="0" w:color="auto"/>
              <w:right w:val="single" w:sz="4" w:space="0" w:color="auto"/>
            </w:tcBorders>
            <w:shd w:val="clear" w:color="000000" w:fill="F2F2F2"/>
            <w:noWrap/>
            <w:vAlign w:val="bottom"/>
            <w:hideMark/>
          </w:tcPr>
          <w:p w14:paraId="10D940D2"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nil"/>
              <w:left w:val="nil"/>
              <w:bottom w:val="single" w:sz="4" w:space="0" w:color="auto"/>
              <w:right w:val="single" w:sz="4" w:space="0" w:color="auto"/>
            </w:tcBorders>
            <w:shd w:val="clear" w:color="000000" w:fill="F2F2F2"/>
            <w:noWrap/>
            <w:vAlign w:val="bottom"/>
            <w:hideMark/>
          </w:tcPr>
          <w:p w14:paraId="79987042"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916" w:type="dxa"/>
            <w:tcBorders>
              <w:top w:val="nil"/>
              <w:left w:val="nil"/>
              <w:bottom w:val="single" w:sz="4" w:space="0" w:color="auto"/>
              <w:right w:val="single" w:sz="4" w:space="0" w:color="auto"/>
            </w:tcBorders>
            <w:shd w:val="clear" w:color="000000" w:fill="F2F2F2"/>
            <w:noWrap/>
            <w:vAlign w:val="bottom"/>
            <w:hideMark/>
          </w:tcPr>
          <w:p w14:paraId="6817881D"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402205F9"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12CD0257"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11</w:t>
            </w:r>
          </w:p>
        </w:tc>
        <w:tc>
          <w:tcPr>
            <w:tcW w:w="763" w:type="dxa"/>
            <w:tcBorders>
              <w:top w:val="nil"/>
              <w:left w:val="nil"/>
              <w:bottom w:val="single" w:sz="4" w:space="0" w:color="auto"/>
              <w:right w:val="single" w:sz="4" w:space="0" w:color="auto"/>
            </w:tcBorders>
            <w:shd w:val="clear" w:color="000000" w:fill="F2F2F2"/>
            <w:noWrap/>
            <w:vAlign w:val="bottom"/>
            <w:hideMark/>
          </w:tcPr>
          <w:p w14:paraId="5DDF73A2"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w:t>
            </w:r>
          </w:p>
        </w:tc>
        <w:tc>
          <w:tcPr>
            <w:tcW w:w="1602" w:type="dxa"/>
            <w:tcBorders>
              <w:top w:val="nil"/>
              <w:left w:val="nil"/>
              <w:bottom w:val="single" w:sz="4" w:space="0" w:color="auto"/>
              <w:right w:val="single" w:sz="4" w:space="0" w:color="auto"/>
            </w:tcBorders>
            <w:shd w:val="clear" w:color="000000" w:fill="F2F2F2"/>
            <w:noWrap/>
            <w:vAlign w:val="bottom"/>
            <w:hideMark/>
          </w:tcPr>
          <w:p w14:paraId="6063F840"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0,1,2</w:t>
            </w:r>
          </w:p>
        </w:tc>
        <w:tc>
          <w:tcPr>
            <w:tcW w:w="907" w:type="dxa"/>
            <w:tcBorders>
              <w:top w:val="nil"/>
              <w:left w:val="nil"/>
              <w:bottom w:val="single" w:sz="4" w:space="0" w:color="auto"/>
              <w:right w:val="single" w:sz="4" w:space="0" w:color="auto"/>
            </w:tcBorders>
            <w:shd w:val="clear" w:color="000000" w:fill="F2F2F2"/>
            <w:noWrap/>
            <w:vAlign w:val="bottom"/>
            <w:hideMark/>
          </w:tcPr>
          <w:p w14:paraId="76378663"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1129" w:type="dxa"/>
            <w:tcBorders>
              <w:top w:val="nil"/>
              <w:left w:val="nil"/>
              <w:bottom w:val="single" w:sz="4" w:space="0" w:color="auto"/>
              <w:right w:val="single" w:sz="4" w:space="0" w:color="auto"/>
            </w:tcBorders>
            <w:shd w:val="clear" w:color="000000" w:fill="F2F2F2"/>
            <w:noWrap/>
            <w:vAlign w:val="bottom"/>
            <w:hideMark/>
          </w:tcPr>
          <w:p w14:paraId="4B2B8DAF"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nil"/>
              <w:left w:val="nil"/>
              <w:bottom w:val="single" w:sz="4" w:space="0" w:color="auto"/>
              <w:right w:val="single" w:sz="4" w:space="0" w:color="auto"/>
            </w:tcBorders>
            <w:shd w:val="clear" w:color="000000" w:fill="F2F2F2"/>
            <w:noWrap/>
            <w:vAlign w:val="bottom"/>
            <w:hideMark/>
          </w:tcPr>
          <w:p w14:paraId="60E74704"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916" w:type="dxa"/>
            <w:tcBorders>
              <w:top w:val="nil"/>
              <w:left w:val="nil"/>
              <w:bottom w:val="single" w:sz="4" w:space="0" w:color="auto"/>
              <w:right w:val="single" w:sz="4" w:space="0" w:color="auto"/>
            </w:tcBorders>
            <w:shd w:val="clear" w:color="000000" w:fill="F2F2F2"/>
            <w:noWrap/>
            <w:vAlign w:val="bottom"/>
            <w:hideMark/>
          </w:tcPr>
          <w:p w14:paraId="239C597E"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16881B30"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744BFB12"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12</w:t>
            </w:r>
          </w:p>
        </w:tc>
        <w:tc>
          <w:tcPr>
            <w:tcW w:w="763" w:type="dxa"/>
            <w:tcBorders>
              <w:top w:val="nil"/>
              <w:left w:val="nil"/>
              <w:bottom w:val="single" w:sz="8" w:space="0" w:color="auto"/>
              <w:right w:val="single" w:sz="4" w:space="0" w:color="auto"/>
            </w:tcBorders>
            <w:shd w:val="clear" w:color="000000" w:fill="F2F2F2"/>
            <w:noWrap/>
            <w:vAlign w:val="bottom"/>
            <w:hideMark/>
          </w:tcPr>
          <w:p w14:paraId="21EBC4AC"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w:t>
            </w:r>
          </w:p>
        </w:tc>
        <w:tc>
          <w:tcPr>
            <w:tcW w:w="1602" w:type="dxa"/>
            <w:tcBorders>
              <w:top w:val="nil"/>
              <w:left w:val="nil"/>
              <w:bottom w:val="single" w:sz="8" w:space="0" w:color="auto"/>
              <w:right w:val="single" w:sz="4" w:space="0" w:color="auto"/>
            </w:tcBorders>
            <w:shd w:val="clear" w:color="000000" w:fill="F2F2F2"/>
            <w:noWrap/>
            <w:vAlign w:val="bottom"/>
            <w:hideMark/>
          </w:tcPr>
          <w:p w14:paraId="6CE4B9F2"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0,1,2</w:t>
            </w:r>
          </w:p>
        </w:tc>
        <w:tc>
          <w:tcPr>
            <w:tcW w:w="907" w:type="dxa"/>
            <w:tcBorders>
              <w:top w:val="nil"/>
              <w:left w:val="nil"/>
              <w:bottom w:val="single" w:sz="8" w:space="0" w:color="auto"/>
              <w:right w:val="single" w:sz="4" w:space="0" w:color="auto"/>
            </w:tcBorders>
            <w:shd w:val="clear" w:color="000000" w:fill="F2F2F2"/>
            <w:noWrap/>
            <w:vAlign w:val="bottom"/>
            <w:hideMark/>
          </w:tcPr>
          <w:p w14:paraId="1DBE7359"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1129" w:type="dxa"/>
            <w:tcBorders>
              <w:top w:val="nil"/>
              <w:left w:val="nil"/>
              <w:bottom w:val="single" w:sz="8" w:space="0" w:color="auto"/>
              <w:right w:val="single" w:sz="4" w:space="0" w:color="auto"/>
            </w:tcBorders>
            <w:shd w:val="clear" w:color="000000" w:fill="F2F2F2"/>
            <w:noWrap/>
            <w:vAlign w:val="bottom"/>
            <w:hideMark/>
          </w:tcPr>
          <w:p w14:paraId="2E5BEFAE"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8" w:space="0" w:color="auto"/>
              <w:right w:val="single" w:sz="4" w:space="0" w:color="auto"/>
            </w:tcBorders>
            <w:shd w:val="clear" w:color="000000" w:fill="F2F2F2"/>
            <w:noWrap/>
            <w:vAlign w:val="bottom"/>
            <w:hideMark/>
          </w:tcPr>
          <w:p w14:paraId="1806B197"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916" w:type="dxa"/>
            <w:tcBorders>
              <w:top w:val="nil"/>
              <w:left w:val="nil"/>
              <w:bottom w:val="single" w:sz="8" w:space="0" w:color="auto"/>
              <w:right w:val="single" w:sz="4" w:space="0" w:color="auto"/>
            </w:tcBorders>
            <w:shd w:val="clear" w:color="000000" w:fill="F2F2F2"/>
            <w:noWrap/>
            <w:vAlign w:val="bottom"/>
            <w:hideMark/>
          </w:tcPr>
          <w:p w14:paraId="53D7BD5A"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7582D2CB"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7E87ACB7"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13</w:t>
            </w:r>
          </w:p>
        </w:tc>
        <w:tc>
          <w:tcPr>
            <w:tcW w:w="763" w:type="dxa"/>
            <w:tcBorders>
              <w:top w:val="nil"/>
              <w:left w:val="nil"/>
              <w:bottom w:val="double" w:sz="6" w:space="0" w:color="auto"/>
              <w:right w:val="single" w:sz="4" w:space="0" w:color="auto"/>
            </w:tcBorders>
            <w:shd w:val="clear" w:color="000000" w:fill="F2F2F2"/>
            <w:noWrap/>
            <w:vAlign w:val="bottom"/>
            <w:hideMark/>
          </w:tcPr>
          <w:p w14:paraId="35F9F619"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4</w:t>
            </w:r>
          </w:p>
        </w:tc>
        <w:tc>
          <w:tcPr>
            <w:tcW w:w="1602" w:type="dxa"/>
            <w:tcBorders>
              <w:top w:val="nil"/>
              <w:left w:val="nil"/>
              <w:bottom w:val="double" w:sz="6" w:space="0" w:color="auto"/>
              <w:right w:val="single" w:sz="4" w:space="0" w:color="auto"/>
            </w:tcBorders>
            <w:shd w:val="clear" w:color="000000" w:fill="F2F2F2"/>
            <w:noWrap/>
            <w:vAlign w:val="bottom"/>
            <w:hideMark/>
          </w:tcPr>
          <w:p w14:paraId="5162DC3F"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0,1,2,3</w:t>
            </w:r>
          </w:p>
        </w:tc>
        <w:tc>
          <w:tcPr>
            <w:tcW w:w="907" w:type="dxa"/>
            <w:tcBorders>
              <w:top w:val="nil"/>
              <w:left w:val="nil"/>
              <w:bottom w:val="double" w:sz="6" w:space="0" w:color="auto"/>
              <w:right w:val="single" w:sz="4" w:space="0" w:color="auto"/>
            </w:tcBorders>
            <w:shd w:val="clear" w:color="000000" w:fill="F2F2F2"/>
            <w:noWrap/>
            <w:vAlign w:val="bottom"/>
            <w:hideMark/>
          </w:tcPr>
          <w:p w14:paraId="58A83B72"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1129" w:type="dxa"/>
            <w:tcBorders>
              <w:top w:val="nil"/>
              <w:left w:val="nil"/>
              <w:bottom w:val="double" w:sz="6" w:space="0" w:color="auto"/>
              <w:right w:val="single" w:sz="4" w:space="0" w:color="auto"/>
            </w:tcBorders>
            <w:shd w:val="clear" w:color="000000" w:fill="F2F2F2"/>
            <w:noWrap/>
            <w:vAlign w:val="bottom"/>
            <w:hideMark/>
          </w:tcPr>
          <w:p w14:paraId="48FD6718"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654" w:type="dxa"/>
            <w:tcBorders>
              <w:top w:val="nil"/>
              <w:left w:val="nil"/>
              <w:bottom w:val="double" w:sz="6" w:space="0" w:color="auto"/>
              <w:right w:val="single" w:sz="4" w:space="0" w:color="auto"/>
            </w:tcBorders>
            <w:shd w:val="clear" w:color="000000" w:fill="F2F2F2"/>
            <w:noWrap/>
            <w:vAlign w:val="bottom"/>
            <w:hideMark/>
          </w:tcPr>
          <w:p w14:paraId="3C68E606"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916" w:type="dxa"/>
            <w:tcBorders>
              <w:top w:val="nil"/>
              <w:left w:val="nil"/>
              <w:bottom w:val="double" w:sz="6" w:space="0" w:color="auto"/>
              <w:right w:val="single" w:sz="4" w:space="0" w:color="auto"/>
            </w:tcBorders>
            <w:shd w:val="clear" w:color="000000" w:fill="F2F2F2"/>
            <w:noWrap/>
            <w:vAlign w:val="bottom"/>
            <w:hideMark/>
          </w:tcPr>
          <w:p w14:paraId="1F4D5A02"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3C9ED135"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36DDAE4E"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14</w:t>
            </w:r>
          </w:p>
        </w:tc>
        <w:tc>
          <w:tcPr>
            <w:tcW w:w="763" w:type="dxa"/>
            <w:tcBorders>
              <w:top w:val="nil"/>
              <w:left w:val="nil"/>
              <w:bottom w:val="single" w:sz="4" w:space="0" w:color="auto"/>
              <w:right w:val="single" w:sz="4" w:space="0" w:color="auto"/>
            </w:tcBorders>
            <w:shd w:val="clear" w:color="000000" w:fill="D9D9D9"/>
            <w:noWrap/>
            <w:vAlign w:val="bottom"/>
            <w:hideMark/>
          </w:tcPr>
          <w:p w14:paraId="7174CA36"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1602" w:type="dxa"/>
            <w:tcBorders>
              <w:top w:val="nil"/>
              <w:left w:val="nil"/>
              <w:bottom w:val="single" w:sz="4" w:space="0" w:color="auto"/>
              <w:right w:val="single" w:sz="4" w:space="0" w:color="auto"/>
            </w:tcBorders>
            <w:shd w:val="clear" w:color="000000" w:fill="D9D9D9"/>
            <w:noWrap/>
            <w:vAlign w:val="bottom"/>
            <w:hideMark/>
          </w:tcPr>
          <w:p w14:paraId="287E7EB1"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c>
          <w:tcPr>
            <w:tcW w:w="907" w:type="dxa"/>
            <w:tcBorders>
              <w:top w:val="nil"/>
              <w:left w:val="nil"/>
              <w:bottom w:val="single" w:sz="4" w:space="0" w:color="auto"/>
              <w:right w:val="single" w:sz="4" w:space="0" w:color="auto"/>
            </w:tcBorders>
            <w:shd w:val="clear" w:color="000000" w:fill="D9D9D9"/>
            <w:noWrap/>
            <w:vAlign w:val="bottom"/>
            <w:hideMark/>
          </w:tcPr>
          <w:p w14:paraId="17CF168F"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1129" w:type="dxa"/>
            <w:tcBorders>
              <w:top w:val="nil"/>
              <w:left w:val="nil"/>
              <w:bottom w:val="single" w:sz="4" w:space="0" w:color="auto"/>
              <w:right w:val="single" w:sz="4" w:space="0" w:color="auto"/>
            </w:tcBorders>
            <w:shd w:val="clear" w:color="000000" w:fill="D9D9D9"/>
            <w:noWrap/>
            <w:vAlign w:val="bottom"/>
            <w:hideMark/>
          </w:tcPr>
          <w:p w14:paraId="7EA11FA5"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nil"/>
              <w:left w:val="nil"/>
              <w:bottom w:val="single" w:sz="4" w:space="0" w:color="auto"/>
              <w:right w:val="single" w:sz="4" w:space="0" w:color="auto"/>
            </w:tcBorders>
            <w:shd w:val="clear" w:color="000000" w:fill="D9D9D9"/>
            <w:noWrap/>
            <w:vAlign w:val="bottom"/>
            <w:hideMark/>
          </w:tcPr>
          <w:p w14:paraId="064809E3"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14AFF035"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32612588"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33CCC1AF"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15</w:t>
            </w:r>
          </w:p>
        </w:tc>
        <w:tc>
          <w:tcPr>
            <w:tcW w:w="763" w:type="dxa"/>
            <w:tcBorders>
              <w:top w:val="nil"/>
              <w:left w:val="nil"/>
              <w:bottom w:val="single" w:sz="4" w:space="0" w:color="auto"/>
              <w:right w:val="single" w:sz="4" w:space="0" w:color="auto"/>
            </w:tcBorders>
            <w:shd w:val="clear" w:color="000000" w:fill="D9D9D9"/>
            <w:noWrap/>
            <w:vAlign w:val="bottom"/>
            <w:hideMark/>
          </w:tcPr>
          <w:p w14:paraId="512F31D6"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1602" w:type="dxa"/>
            <w:tcBorders>
              <w:top w:val="nil"/>
              <w:left w:val="nil"/>
              <w:bottom w:val="single" w:sz="4" w:space="0" w:color="auto"/>
              <w:right w:val="single" w:sz="4" w:space="0" w:color="auto"/>
            </w:tcBorders>
            <w:shd w:val="clear" w:color="000000" w:fill="D9D9D9"/>
            <w:noWrap/>
            <w:vAlign w:val="bottom"/>
            <w:hideMark/>
          </w:tcPr>
          <w:p w14:paraId="1A97C1BA"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c>
          <w:tcPr>
            <w:tcW w:w="907" w:type="dxa"/>
            <w:tcBorders>
              <w:top w:val="nil"/>
              <w:left w:val="nil"/>
              <w:bottom w:val="single" w:sz="4" w:space="0" w:color="auto"/>
              <w:right w:val="single" w:sz="4" w:space="0" w:color="auto"/>
            </w:tcBorders>
            <w:shd w:val="clear" w:color="000000" w:fill="D9D9D9"/>
            <w:noWrap/>
            <w:vAlign w:val="bottom"/>
            <w:hideMark/>
          </w:tcPr>
          <w:p w14:paraId="4AEFAE06"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1129" w:type="dxa"/>
            <w:tcBorders>
              <w:top w:val="nil"/>
              <w:left w:val="nil"/>
              <w:bottom w:val="single" w:sz="4" w:space="0" w:color="auto"/>
              <w:right w:val="single" w:sz="4" w:space="0" w:color="auto"/>
            </w:tcBorders>
            <w:shd w:val="clear" w:color="000000" w:fill="D9D9D9"/>
            <w:noWrap/>
            <w:vAlign w:val="bottom"/>
            <w:hideMark/>
          </w:tcPr>
          <w:p w14:paraId="67F3F185"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D9D9D9"/>
            <w:noWrap/>
            <w:vAlign w:val="bottom"/>
            <w:hideMark/>
          </w:tcPr>
          <w:p w14:paraId="14857740"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5F3C965C"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2B2B620A"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53E9B1A4"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16</w:t>
            </w:r>
          </w:p>
        </w:tc>
        <w:tc>
          <w:tcPr>
            <w:tcW w:w="763" w:type="dxa"/>
            <w:tcBorders>
              <w:top w:val="nil"/>
              <w:left w:val="nil"/>
              <w:bottom w:val="single" w:sz="4" w:space="0" w:color="auto"/>
              <w:right w:val="single" w:sz="4" w:space="0" w:color="auto"/>
            </w:tcBorders>
            <w:shd w:val="clear" w:color="000000" w:fill="D9D9D9"/>
            <w:noWrap/>
            <w:vAlign w:val="bottom"/>
            <w:hideMark/>
          </w:tcPr>
          <w:p w14:paraId="4750B53F"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1602" w:type="dxa"/>
            <w:tcBorders>
              <w:top w:val="nil"/>
              <w:left w:val="nil"/>
              <w:bottom w:val="single" w:sz="4" w:space="0" w:color="auto"/>
              <w:right w:val="single" w:sz="4" w:space="0" w:color="auto"/>
            </w:tcBorders>
            <w:shd w:val="clear" w:color="000000" w:fill="D9D9D9"/>
            <w:noWrap/>
            <w:vAlign w:val="bottom"/>
            <w:hideMark/>
          </w:tcPr>
          <w:p w14:paraId="7E461577"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c>
          <w:tcPr>
            <w:tcW w:w="907" w:type="dxa"/>
            <w:tcBorders>
              <w:top w:val="nil"/>
              <w:left w:val="nil"/>
              <w:bottom w:val="single" w:sz="4" w:space="0" w:color="auto"/>
              <w:right w:val="single" w:sz="4" w:space="0" w:color="auto"/>
            </w:tcBorders>
            <w:shd w:val="clear" w:color="000000" w:fill="D9D9D9"/>
            <w:noWrap/>
            <w:vAlign w:val="bottom"/>
            <w:hideMark/>
          </w:tcPr>
          <w:p w14:paraId="61B25F6E"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D9D9D9"/>
            <w:noWrap/>
            <w:vAlign w:val="bottom"/>
            <w:hideMark/>
          </w:tcPr>
          <w:p w14:paraId="1303D9B4"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nil"/>
              <w:left w:val="nil"/>
              <w:bottom w:val="single" w:sz="4" w:space="0" w:color="auto"/>
              <w:right w:val="single" w:sz="4" w:space="0" w:color="auto"/>
            </w:tcBorders>
            <w:shd w:val="clear" w:color="000000" w:fill="D9D9D9"/>
            <w:noWrap/>
            <w:vAlign w:val="bottom"/>
            <w:hideMark/>
          </w:tcPr>
          <w:p w14:paraId="15C38098"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08291586"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11861F9B"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3A5CE17D"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17</w:t>
            </w:r>
          </w:p>
        </w:tc>
        <w:tc>
          <w:tcPr>
            <w:tcW w:w="763" w:type="dxa"/>
            <w:tcBorders>
              <w:top w:val="nil"/>
              <w:left w:val="nil"/>
              <w:bottom w:val="single" w:sz="4" w:space="0" w:color="auto"/>
              <w:right w:val="single" w:sz="4" w:space="0" w:color="auto"/>
            </w:tcBorders>
            <w:shd w:val="clear" w:color="000000" w:fill="D9D9D9"/>
            <w:noWrap/>
            <w:vAlign w:val="bottom"/>
            <w:hideMark/>
          </w:tcPr>
          <w:p w14:paraId="184359AB"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1602" w:type="dxa"/>
            <w:tcBorders>
              <w:top w:val="nil"/>
              <w:left w:val="nil"/>
              <w:bottom w:val="single" w:sz="4" w:space="0" w:color="auto"/>
              <w:right w:val="single" w:sz="4" w:space="0" w:color="auto"/>
            </w:tcBorders>
            <w:shd w:val="clear" w:color="000000" w:fill="D9D9D9"/>
            <w:noWrap/>
            <w:vAlign w:val="bottom"/>
            <w:hideMark/>
          </w:tcPr>
          <w:p w14:paraId="6AD3C61E"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c>
          <w:tcPr>
            <w:tcW w:w="907" w:type="dxa"/>
            <w:tcBorders>
              <w:top w:val="nil"/>
              <w:left w:val="nil"/>
              <w:bottom w:val="single" w:sz="4" w:space="0" w:color="auto"/>
              <w:right w:val="single" w:sz="4" w:space="0" w:color="auto"/>
            </w:tcBorders>
            <w:shd w:val="clear" w:color="000000" w:fill="D9D9D9"/>
            <w:noWrap/>
            <w:vAlign w:val="bottom"/>
            <w:hideMark/>
          </w:tcPr>
          <w:p w14:paraId="5964544C"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D9D9D9"/>
            <w:noWrap/>
            <w:vAlign w:val="bottom"/>
            <w:hideMark/>
          </w:tcPr>
          <w:p w14:paraId="7902DAEC"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D9D9D9"/>
            <w:noWrap/>
            <w:vAlign w:val="bottom"/>
            <w:hideMark/>
          </w:tcPr>
          <w:p w14:paraId="7D957E7A"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6B21FA24"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5A844D83"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61773FC5"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18</w:t>
            </w:r>
          </w:p>
        </w:tc>
        <w:tc>
          <w:tcPr>
            <w:tcW w:w="763" w:type="dxa"/>
            <w:tcBorders>
              <w:top w:val="nil"/>
              <w:left w:val="nil"/>
              <w:bottom w:val="single" w:sz="4" w:space="0" w:color="auto"/>
              <w:right w:val="single" w:sz="4" w:space="0" w:color="auto"/>
            </w:tcBorders>
            <w:shd w:val="clear" w:color="000000" w:fill="D9D9D9"/>
            <w:noWrap/>
            <w:vAlign w:val="bottom"/>
            <w:hideMark/>
          </w:tcPr>
          <w:p w14:paraId="36D646D4"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1602" w:type="dxa"/>
            <w:tcBorders>
              <w:top w:val="nil"/>
              <w:left w:val="nil"/>
              <w:bottom w:val="single" w:sz="4" w:space="0" w:color="auto"/>
              <w:right w:val="single" w:sz="4" w:space="0" w:color="auto"/>
            </w:tcBorders>
            <w:shd w:val="clear" w:color="000000" w:fill="D9D9D9"/>
            <w:noWrap/>
            <w:vAlign w:val="bottom"/>
            <w:hideMark/>
          </w:tcPr>
          <w:p w14:paraId="5567F9D2"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907" w:type="dxa"/>
            <w:tcBorders>
              <w:top w:val="nil"/>
              <w:left w:val="nil"/>
              <w:bottom w:val="single" w:sz="4" w:space="0" w:color="auto"/>
              <w:right w:val="single" w:sz="4" w:space="0" w:color="auto"/>
            </w:tcBorders>
            <w:shd w:val="clear" w:color="000000" w:fill="D9D9D9"/>
            <w:noWrap/>
            <w:vAlign w:val="bottom"/>
            <w:hideMark/>
          </w:tcPr>
          <w:p w14:paraId="10E7E015"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D9D9D9"/>
            <w:noWrap/>
            <w:vAlign w:val="bottom"/>
            <w:hideMark/>
          </w:tcPr>
          <w:p w14:paraId="2A8C4399"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D9D9D9"/>
            <w:noWrap/>
            <w:vAlign w:val="bottom"/>
            <w:hideMark/>
          </w:tcPr>
          <w:p w14:paraId="620A0060"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34BD3AC4"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r>
      <w:tr w:rsidR="007259A1" w:rsidRPr="007259A1" w14:paraId="10FF94EA"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209E9267"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19</w:t>
            </w:r>
          </w:p>
        </w:tc>
        <w:tc>
          <w:tcPr>
            <w:tcW w:w="763" w:type="dxa"/>
            <w:tcBorders>
              <w:top w:val="nil"/>
              <w:left w:val="nil"/>
              <w:bottom w:val="single" w:sz="4" w:space="0" w:color="auto"/>
              <w:right w:val="single" w:sz="4" w:space="0" w:color="auto"/>
            </w:tcBorders>
            <w:shd w:val="clear" w:color="000000" w:fill="D9D9D9"/>
            <w:noWrap/>
            <w:vAlign w:val="bottom"/>
            <w:hideMark/>
          </w:tcPr>
          <w:p w14:paraId="7E633DE6"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1602" w:type="dxa"/>
            <w:tcBorders>
              <w:top w:val="nil"/>
              <w:left w:val="nil"/>
              <w:bottom w:val="single" w:sz="4" w:space="0" w:color="auto"/>
              <w:right w:val="single" w:sz="4" w:space="0" w:color="auto"/>
            </w:tcBorders>
            <w:shd w:val="clear" w:color="000000" w:fill="D9D9D9"/>
            <w:noWrap/>
            <w:vAlign w:val="bottom"/>
            <w:hideMark/>
          </w:tcPr>
          <w:p w14:paraId="404AA182"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07" w:type="dxa"/>
            <w:tcBorders>
              <w:top w:val="nil"/>
              <w:left w:val="nil"/>
              <w:bottom w:val="single" w:sz="4" w:space="0" w:color="auto"/>
              <w:right w:val="single" w:sz="4" w:space="0" w:color="auto"/>
            </w:tcBorders>
            <w:shd w:val="clear" w:color="000000" w:fill="D9D9D9"/>
            <w:noWrap/>
            <w:vAlign w:val="bottom"/>
            <w:hideMark/>
          </w:tcPr>
          <w:p w14:paraId="0A22C2EF"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D9D9D9"/>
            <w:noWrap/>
            <w:vAlign w:val="bottom"/>
            <w:hideMark/>
          </w:tcPr>
          <w:p w14:paraId="729D01F8"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D9D9D9"/>
            <w:noWrap/>
            <w:vAlign w:val="bottom"/>
            <w:hideMark/>
          </w:tcPr>
          <w:p w14:paraId="0C617B50"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12C4550D"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r>
      <w:tr w:rsidR="007259A1" w:rsidRPr="007259A1" w14:paraId="578DB8E8"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38008989"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20</w:t>
            </w:r>
          </w:p>
        </w:tc>
        <w:tc>
          <w:tcPr>
            <w:tcW w:w="763" w:type="dxa"/>
            <w:tcBorders>
              <w:top w:val="nil"/>
              <w:left w:val="nil"/>
              <w:bottom w:val="single" w:sz="4" w:space="0" w:color="auto"/>
              <w:right w:val="single" w:sz="4" w:space="0" w:color="auto"/>
            </w:tcBorders>
            <w:shd w:val="clear" w:color="000000" w:fill="D9D9D9"/>
            <w:noWrap/>
            <w:vAlign w:val="bottom"/>
            <w:hideMark/>
          </w:tcPr>
          <w:p w14:paraId="07A90CE9"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1602" w:type="dxa"/>
            <w:tcBorders>
              <w:top w:val="nil"/>
              <w:left w:val="nil"/>
              <w:bottom w:val="single" w:sz="4" w:space="0" w:color="auto"/>
              <w:right w:val="single" w:sz="4" w:space="0" w:color="auto"/>
            </w:tcBorders>
            <w:shd w:val="clear" w:color="000000" w:fill="D9D9D9"/>
            <w:noWrap/>
            <w:vAlign w:val="bottom"/>
            <w:hideMark/>
          </w:tcPr>
          <w:p w14:paraId="7B610CB3"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w:t>
            </w:r>
          </w:p>
        </w:tc>
        <w:tc>
          <w:tcPr>
            <w:tcW w:w="907" w:type="dxa"/>
            <w:tcBorders>
              <w:top w:val="nil"/>
              <w:left w:val="nil"/>
              <w:bottom w:val="single" w:sz="4" w:space="0" w:color="auto"/>
              <w:right w:val="single" w:sz="4" w:space="0" w:color="auto"/>
            </w:tcBorders>
            <w:shd w:val="clear" w:color="000000" w:fill="D9D9D9"/>
            <w:noWrap/>
            <w:vAlign w:val="bottom"/>
            <w:hideMark/>
          </w:tcPr>
          <w:p w14:paraId="553128DC"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D9D9D9"/>
            <w:noWrap/>
            <w:vAlign w:val="bottom"/>
            <w:hideMark/>
          </w:tcPr>
          <w:p w14:paraId="59F9673F"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D9D9D9"/>
            <w:noWrap/>
            <w:vAlign w:val="bottom"/>
            <w:hideMark/>
          </w:tcPr>
          <w:p w14:paraId="4FFAC83B"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62E0724C"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w:t>
            </w:r>
          </w:p>
        </w:tc>
      </w:tr>
      <w:tr w:rsidR="007259A1" w:rsidRPr="007259A1" w14:paraId="64BEC887"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72FB7A50"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21</w:t>
            </w:r>
          </w:p>
        </w:tc>
        <w:tc>
          <w:tcPr>
            <w:tcW w:w="763" w:type="dxa"/>
            <w:tcBorders>
              <w:top w:val="nil"/>
              <w:left w:val="nil"/>
              <w:bottom w:val="single" w:sz="4" w:space="0" w:color="auto"/>
              <w:right w:val="single" w:sz="4" w:space="0" w:color="auto"/>
            </w:tcBorders>
            <w:shd w:val="clear" w:color="000000" w:fill="D9D9D9"/>
            <w:noWrap/>
            <w:vAlign w:val="bottom"/>
            <w:hideMark/>
          </w:tcPr>
          <w:p w14:paraId="34904DB1"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1602" w:type="dxa"/>
            <w:tcBorders>
              <w:top w:val="nil"/>
              <w:left w:val="nil"/>
              <w:bottom w:val="single" w:sz="4" w:space="0" w:color="auto"/>
              <w:right w:val="single" w:sz="4" w:space="0" w:color="auto"/>
            </w:tcBorders>
            <w:shd w:val="clear" w:color="000000" w:fill="D9D9D9"/>
            <w:noWrap/>
            <w:vAlign w:val="bottom"/>
            <w:hideMark/>
          </w:tcPr>
          <w:p w14:paraId="1F01583E"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4</w:t>
            </w:r>
          </w:p>
        </w:tc>
        <w:tc>
          <w:tcPr>
            <w:tcW w:w="907" w:type="dxa"/>
            <w:tcBorders>
              <w:top w:val="nil"/>
              <w:left w:val="nil"/>
              <w:bottom w:val="single" w:sz="4" w:space="0" w:color="auto"/>
              <w:right w:val="single" w:sz="4" w:space="0" w:color="auto"/>
            </w:tcBorders>
            <w:shd w:val="clear" w:color="000000" w:fill="D9D9D9"/>
            <w:noWrap/>
            <w:vAlign w:val="bottom"/>
            <w:hideMark/>
          </w:tcPr>
          <w:p w14:paraId="11A30D4E"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D9D9D9"/>
            <w:noWrap/>
            <w:vAlign w:val="bottom"/>
            <w:hideMark/>
          </w:tcPr>
          <w:p w14:paraId="37422774"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D9D9D9"/>
            <w:noWrap/>
            <w:vAlign w:val="bottom"/>
            <w:hideMark/>
          </w:tcPr>
          <w:p w14:paraId="7FF056DE"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424178A9"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4645CE35"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061FDAC8"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22</w:t>
            </w:r>
          </w:p>
        </w:tc>
        <w:tc>
          <w:tcPr>
            <w:tcW w:w="763" w:type="dxa"/>
            <w:tcBorders>
              <w:top w:val="nil"/>
              <w:left w:val="nil"/>
              <w:bottom w:val="single" w:sz="4" w:space="0" w:color="auto"/>
              <w:right w:val="single" w:sz="4" w:space="0" w:color="auto"/>
            </w:tcBorders>
            <w:shd w:val="clear" w:color="000000" w:fill="D9D9D9"/>
            <w:noWrap/>
            <w:vAlign w:val="bottom"/>
            <w:hideMark/>
          </w:tcPr>
          <w:p w14:paraId="0F18E82D"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1602" w:type="dxa"/>
            <w:tcBorders>
              <w:top w:val="nil"/>
              <w:left w:val="nil"/>
              <w:bottom w:val="single" w:sz="4" w:space="0" w:color="auto"/>
              <w:right w:val="single" w:sz="4" w:space="0" w:color="auto"/>
            </w:tcBorders>
            <w:shd w:val="clear" w:color="000000" w:fill="D9D9D9"/>
            <w:noWrap/>
            <w:vAlign w:val="bottom"/>
            <w:hideMark/>
          </w:tcPr>
          <w:p w14:paraId="498FBEB2"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5</w:t>
            </w:r>
          </w:p>
        </w:tc>
        <w:tc>
          <w:tcPr>
            <w:tcW w:w="907" w:type="dxa"/>
            <w:tcBorders>
              <w:top w:val="nil"/>
              <w:left w:val="nil"/>
              <w:bottom w:val="single" w:sz="4" w:space="0" w:color="auto"/>
              <w:right w:val="single" w:sz="4" w:space="0" w:color="auto"/>
            </w:tcBorders>
            <w:shd w:val="clear" w:color="000000" w:fill="D9D9D9"/>
            <w:noWrap/>
            <w:vAlign w:val="bottom"/>
            <w:hideMark/>
          </w:tcPr>
          <w:p w14:paraId="2A937CEB"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D9D9D9"/>
            <w:noWrap/>
            <w:vAlign w:val="bottom"/>
            <w:hideMark/>
          </w:tcPr>
          <w:p w14:paraId="772C1D6F"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D9D9D9"/>
            <w:noWrap/>
            <w:vAlign w:val="bottom"/>
            <w:hideMark/>
          </w:tcPr>
          <w:p w14:paraId="727211E6"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1D259806"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32972EA8"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7F04B1A6"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23</w:t>
            </w:r>
          </w:p>
        </w:tc>
        <w:tc>
          <w:tcPr>
            <w:tcW w:w="763" w:type="dxa"/>
            <w:tcBorders>
              <w:top w:val="nil"/>
              <w:left w:val="nil"/>
              <w:bottom w:val="single" w:sz="4" w:space="0" w:color="auto"/>
              <w:right w:val="single" w:sz="4" w:space="0" w:color="auto"/>
            </w:tcBorders>
            <w:shd w:val="clear" w:color="000000" w:fill="D9D9D9"/>
            <w:noWrap/>
            <w:vAlign w:val="bottom"/>
            <w:hideMark/>
          </w:tcPr>
          <w:p w14:paraId="72202ACF"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1602" w:type="dxa"/>
            <w:tcBorders>
              <w:top w:val="nil"/>
              <w:left w:val="nil"/>
              <w:bottom w:val="single" w:sz="4" w:space="0" w:color="auto"/>
              <w:right w:val="single" w:sz="4" w:space="0" w:color="auto"/>
            </w:tcBorders>
            <w:shd w:val="clear" w:color="000000" w:fill="D9D9D9"/>
            <w:noWrap/>
            <w:vAlign w:val="bottom"/>
            <w:hideMark/>
          </w:tcPr>
          <w:p w14:paraId="57172AA1"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6</w:t>
            </w:r>
          </w:p>
        </w:tc>
        <w:tc>
          <w:tcPr>
            <w:tcW w:w="907" w:type="dxa"/>
            <w:tcBorders>
              <w:top w:val="nil"/>
              <w:left w:val="nil"/>
              <w:bottom w:val="single" w:sz="4" w:space="0" w:color="auto"/>
              <w:right w:val="single" w:sz="4" w:space="0" w:color="auto"/>
            </w:tcBorders>
            <w:shd w:val="clear" w:color="000000" w:fill="D9D9D9"/>
            <w:noWrap/>
            <w:vAlign w:val="bottom"/>
            <w:hideMark/>
          </w:tcPr>
          <w:p w14:paraId="2ECB3DD4"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D9D9D9"/>
            <w:noWrap/>
            <w:vAlign w:val="bottom"/>
            <w:hideMark/>
          </w:tcPr>
          <w:p w14:paraId="460FB19A"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D9D9D9"/>
            <w:noWrap/>
            <w:vAlign w:val="bottom"/>
            <w:hideMark/>
          </w:tcPr>
          <w:p w14:paraId="631D34A3"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72794D4B"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262EE283"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6CE5B8F9"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24</w:t>
            </w:r>
          </w:p>
        </w:tc>
        <w:tc>
          <w:tcPr>
            <w:tcW w:w="763" w:type="dxa"/>
            <w:tcBorders>
              <w:top w:val="nil"/>
              <w:left w:val="nil"/>
              <w:bottom w:val="single" w:sz="8" w:space="0" w:color="auto"/>
              <w:right w:val="single" w:sz="4" w:space="0" w:color="auto"/>
            </w:tcBorders>
            <w:shd w:val="clear" w:color="000000" w:fill="D9D9D9"/>
            <w:noWrap/>
            <w:vAlign w:val="bottom"/>
            <w:hideMark/>
          </w:tcPr>
          <w:p w14:paraId="43F60F69"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w:t>
            </w:r>
          </w:p>
        </w:tc>
        <w:tc>
          <w:tcPr>
            <w:tcW w:w="1602" w:type="dxa"/>
            <w:tcBorders>
              <w:top w:val="nil"/>
              <w:left w:val="nil"/>
              <w:bottom w:val="single" w:sz="8" w:space="0" w:color="auto"/>
              <w:right w:val="single" w:sz="4" w:space="0" w:color="auto"/>
            </w:tcBorders>
            <w:shd w:val="clear" w:color="000000" w:fill="D9D9D9"/>
            <w:noWrap/>
            <w:vAlign w:val="bottom"/>
            <w:hideMark/>
          </w:tcPr>
          <w:p w14:paraId="51B9F8CC"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7</w:t>
            </w:r>
          </w:p>
        </w:tc>
        <w:tc>
          <w:tcPr>
            <w:tcW w:w="907" w:type="dxa"/>
            <w:tcBorders>
              <w:top w:val="nil"/>
              <w:left w:val="nil"/>
              <w:bottom w:val="single" w:sz="8" w:space="0" w:color="auto"/>
              <w:right w:val="single" w:sz="4" w:space="0" w:color="auto"/>
            </w:tcBorders>
            <w:shd w:val="clear" w:color="000000" w:fill="D9D9D9"/>
            <w:noWrap/>
            <w:vAlign w:val="bottom"/>
            <w:hideMark/>
          </w:tcPr>
          <w:p w14:paraId="668A9927"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8" w:space="0" w:color="auto"/>
              <w:right w:val="single" w:sz="4" w:space="0" w:color="auto"/>
            </w:tcBorders>
            <w:shd w:val="clear" w:color="000000" w:fill="D9D9D9"/>
            <w:noWrap/>
            <w:vAlign w:val="bottom"/>
            <w:hideMark/>
          </w:tcPr>
          <w:p w14:paraId="6E224E59"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8" w:space="0" w:color="auto"/>
              <w:right w:val="single" w:sz="4" w:space="0" w:color="auto"/>
            </w:tcBorders>
            <w:shd w:val="clear" w:color="000000" w:fill="D9D9D9"/>
            <w:noWrap/>
            <w:vAlign w:val="bottom"/>
            <w:hideMark/>
          </w:tcPr>
          <w:p w14:paraId="35249CBA"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8" w:space="0" w:color="auto"/>
              <w:right w:val="single" w:sz="4" w:space="0" w:color="auto"/>
            </w:tcBorders>
            <w:shd w:val="clear" w:color="000000" w:fill="D9D9D9"/>
            <w:noWrap/>
            <w:vAlign w:val="bottom"/>
            <w:hideMark/>
          </w:tcPr>
          <w:p w14:paraId="589D50BA"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101A951B"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6FB4877D"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25</w:t>
            </w:r>
          </w:p>
        </w:tc>
        <w:tc>
          <w:tcPr>
            <w:tcW w:w="763" w:type="dxa"/>
            <w:tcBorders>
              <w:top w:val="single" w:sz="4" w:space="0" w:color="auto"/>
              <w:left w:val="nil"/>
              <w:bottom w:val="single" w:sz="4" w:space="0" w:color="auto"/>
              <w:right w:val="single" w:sz="4" w:space="0" w:color="auto"/>
            </w:tcBorders>
            <w:shd w:val="clear" w:color="000000" w:fill="D9D9D9"/>
            <w:noWrap/>
            <w:vAlign w:val="bottom"/>
            <w:hideMark/>
          </w:tcPr>
          <w:p w14:paraId="7BBEC6AF"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1602" w:type="dxa"/>
            <w:tcBorders>
              <w:top w:val="single" w:sz="4" w:space="0" w:color="auto"/>
              <w:left w:val="nil"/>
              <w:bottom w:val="single" w:sz="4" w:space="0" w:color="auto"/>
              <w:right w:val="single" w:sz="4" w:space="0" w:color="auto"/>
            </w:tcBorders>
            <w:shd w:val="clear" w:color="000000" w:fill="D9D9D9"/>
            <w:noWrap/>
            <w:vAlign w:val="bottom"/>
            <w:hideMark/>
          </w:tcPr>
          <w:p w14:paraId="60D92693"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0,1</w:t>
            </w:r>
          </w:p>
        </w:tc>
        <w:tc>
          <w:tcPr>
            <w:tcW w:w="907" w:type="dxa"/>
            <w:tcBorders>
              <w:top w:val="single" w:sz="4" w:space="0" w:color="auto"/>
              <w:left w:val="nil"/>
              <w:bottom w:val="single" w:sz="4" w:space="0" w:color="auto"/>
              <w:right w:val="single" w:sz="4" w:space="0" w:color="auto"/>
            </w:tcBorders>
            <w:shd w:val="clear" w:color="000000" w:fill="D9D9D9"/>
            <w:noWrap/>
            <w:vAlign w:val="bottom"/>
            <w:hideMark/>
          </w:tcPr>
          <w:p w14:paraId="05A9D11D"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1129" w:type="dxa"/>
            <w:tcBorders>
              <w:top w:val="single" w:sz="4" w:space="0" w:color="auto"/>
              <w:left w:val="nil"/>
              <w:bottom w:val="single" w:sz="4" w:space="0" w:color="auto"/>
              <w:right w:val="single" w:sz="4" w:space="0" w:color="auto"/>
            </w:tcBorders>
            <w:shd w:val="clear" w:color="000000" w:fill="D9D9D9"/>
            <w:noWrap/>
            <w:vAlign w:val="bottom"/>
            <w:hideMark/>
          </w:tcPr>
          <w:p w14:paraId="5EC7F4BD"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single" w:sz="4" w:space="0" w:color="auto"/>
              <w:left w:val="nil"/>
              <w:bottom w:val="single" w:sz="4" w:space="0" w:color="auto"/>
              <w:right w:val="single" w:sz="4" w:space="0" w:color="auto"/>
            </w:tcBorders>
            <w:shd w:val="clear" w:color="000000" w:fill="D9D9D9"/>
            <w:noWrap/>
            <w:vAlign w:val="bottom"/>
            <w:hideMark/>
          </w:tcPr>
          <w:p w14:paraId="3804E122"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single" w:sz="4" w:space="0" w:color="auto"/>
              <w:left w:val="nil"/>
              <w:bottom w:val="single" w:sz="4" w:space="0" w:color="auto"/>
              <w:right w:val="single" w:sz="4" w:space="0" w:color="auto"/>
            </w:tcBorders>
            <w:shd w:val="clear" w:color="000000" w:fill="D9D9D9"/>
            <w:noWrap/>
            <w:vAlign w:val="bottom"/>
            <w:hideMark/>
          </w:tcPr>
          <w:p w14:paraId="2E3DB377"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330D7EB3"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66D6DB1D"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26</w:t>
            </w:r>
          </w:p>
        </w:tc>
        <w:tc>
          <w:tcPr>
            <w:tcW w:w="763" w:type="dxa"/>
            <w:tcBorders>
              <w:top w:val="nil"/>
              <w:left w:val="nil"/>
              <w:bottom w:val="single" w:sz="4" w:space="0" w:color="auto"/>
              <w:right w:val="single" w:sz="4" w:space="0" w:color="auto"/>
            </w:tcBorders>
            <w:shd w:val="clear" w:color="000000" w:fill="D9D9D9"/>
            <w:noWrap/>
            <w:vAlign w:val="bottom"/>
            <w:hideMark/>
          </w:tcPr>
          <w:p w14:paraId="5BA0CB1D"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1602" w:type="dxa"/>
            <w:tcBorders>
              <w:top w:val="nil"/>
              <w:left w:val="nil"/>
              <w:bottom w:val="single" w:sz="4" w:space="0" w:color="auto"/>
              <w:right w:val="single" w:sz="4" w:space="0" w:color="auto"/>
            </w:tcBorders>
            <w:shd w:val="clear" w:color="000000" w:fill="D9D9D9"/>
            <w:noWrap/>
            <w:vAlign w:val="bottom"/>
            <w:hideMark/>
          </w:tcPr>
          <w:p w14:paraId="429D00BC"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0,1</w:t>
            </w:r>
          </w:p>
        </w:tc>
        <w:tc>
          <w:tcPr>
            <w:tcW w:w="907" w:type="dxa"/>
            <w:tcBorders>
              <w:top w:val="nil"/>
              <w:left w:val="nil"/>
              <w:bottom w:val="single" w:sz="4" w:space="0" w:color="auto"/>
              <w:right w:val="single" w:sz="4" w:space="0" w:color="auto"/>
            </w:tcBorders>
            <w:shd w:val="clear" w:color="000000" w:fill="D9D9D9"/>
            <w:noWrap/>
            <w:vAlign w:val="bottom"/>
            <w:hideMark/>
          </w:tcPr>
          <w:p w14:paraId="1C32070A"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1129" w:type="dxa"/>
            <w:tcBorders>
              <w:top w:val="nil"/>
              <w:left w:val="nil"/>
              <w:bottom w:val="single" w:sz="4" w:space="0" w:color="auto"/>
              <w:right w:val="single" w:sz="4" w:space="0" w:color="auto"/>
            </w:tcBorders>
            <w:shd w:val="clear" w:color="000000" w:fill="D9D9D9"/>
            <w:noWrap/>
            <w:vAlign w:val="bottom"/>
            <w:hideMark/>
          </w:tcPr>
          <w:p w14:paraId="4644BCD6"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D9D9D9"/>
            <w:noWrap/>
            <w:vAlign w:val="bottom"/>
            <w:hideMark/>
          </w:tcPr>
          <w:p w14:paraId="560D2C0B"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525F74B7"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2268DAE0"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27C27A49"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27</w:t>
            </w:r>
          </w:p>
        </w:tc>
        <w:tc>
          <w:tcPr>
            <w:tcW w:w="763" w:type="dxa"/>
            <w:tcBorders>
              <w:top w:val="nil"/>
              <w:left w:val="nil"/>
              <w:bottom w:val="single" w:sz="4" w:space="0" w:color="auto"/>
              <w:right w:val="single" w:sz="4" w:space="0" w:color="auto"/>
            </w:tcBorders>
            <w:shd w:val="clear" w:color="000000" w:fill="D9D9D9"/>
            <w:noWrap/>
            <w:vAlign w:val="bottom"/>
            <w:hideMark/>
          </w:tcPr>
          <w:p w14:paraId="6ADA1384"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1602" w:type="dxa"/>
            <w:tcBorders>
              <w:top w:val="nil"/>
              <w:left w:val="nil"/>
              <w:bottom w:val="single" w:sz="4" w:space="0" w:color="auto"/>
              <w:right w:val="single" w:sz="4" w:space="0" w:color="auto"/>
            </w:tcBorders>
            <w:shd w:val="clear" w:color="000000" w:fill="D9D9D9"/>
            <w:noWrap/>
            <w:vAlign w:val="bottom"/>
            <w:hideMark/>
          </w:tcPr>
          <w:p w14:paraId="4B2B965B"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0,1</w:t>
            </w:r>
          </w:p>
        </w:tc>
        <w:tc>
          <w:tcPr>
            <w:tcW w:w="907" w:type="dxa"/>
            <w:tcBorders>
              <w:top w:val="nil"/>
              <w:left w:val="nil"/>
              <w:bottom w:val="single" w:sz="4" w:space="0" w:color="auto"/>
              <w:right w:val="single" w:sz="4" w:space="0" w:color="auto"/>
            </w:tcBorders>
            <w:shd w:val="clear" w:color="000000" w:fill="D9D9D9"/>
            <w:noWrap/>
            <w:vAlign w:val="bottom"/>
            <w:hideMark/>
          </w:tcPr>
          <w:p w14:paraId="6233EE02"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D9D9D9"/>
            <w:noWrap/>
            <w:vAlign w:val="bottom"/>
            <w:hideMark/>
          </w:tcPr>
          <w:p w14:paraId="7D3EB178"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nil"/>
              <w:left w:val="nil"/>
              <w:bottom w:val="single" w:sz="4" w:space="0" w:color="auto"/>
              <w:right w:val="single" w:sz="4" w:space="0" w:color="auto"/>
            </w:tcBorders>
            <w:shd w:val="clear" w:color="000000" w:fill="D9D9D9"/>
            <w:noWrap/>
            <w:vAlign w:val="bottom"/>
            <w:hideMark/>
          </w:tcPr>
          <w:p w14:paraId="692B3443"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3980EF4B"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58252AAB"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2BA199EB"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28</w:t>
            </w:r>
          </w:p>
        </w:tc>
        <w:tc>
          <w:tcPr>
            <w:tcW w:w="763" w:type="dxa"/>
            <w:tcBorders>
              <w:top w:val="nil"/>
              <w:left w:val="nil"/>
              <w:bottom w:val="single" w:sz="4" w:space="0" w:color="auto"/>
              <w:right w:val="single" w:sz="4" w:space="0" w:color="auto"/>
            </w:tcBorders>
            <w:shd w:val="clear" w:color="000000" w:fill="D9D9D9"/>
            <w:noWrap/>
            <w:vAlign w:val="bottom"/>
            <w:hideMark/>
          </w:tcPr>
          <w:p w14:paraId="719A9E57"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1602" w:type="dxa"/>
            <w:tcBorders>
              <w:top w:val="nil"/>
              <w:left w:val="nil"/>
              <w:bottom w:val="single" w:sz="4" w:space="0" w:color="auto"/>
              <w:right w:val="single" w:sz="4" w:space="0" w:color="auto"/>
            </w:tcBorders>
            <w:shd w:val="clear" w:color="000000" w:fill="D9D9D9"/>
            <w:noWrap/>
            <w:vAlign w:val="bottom"/>
            <w:hideMark/>
          </w:tcPr>
          <w:p w14:paraId="53B964DE"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0,1</w:t>
            </w:r>
          </w:p>
        </w:tc>
        <w:tc>
          <w:tcPr>
            <w:tcW w:w="907" w:type="dxa"/>
            <w:tcBorders>
              <w:top w:val="nil"/>
              <w:left w:val="nil"/>
              <w:bottom w:val="single" w:sz="4" w:space="0" w:color="auto"/>
              <w:right w:val="single" w:sz="4" w:space="0" w:color="auto"/>
            </w:tcBorders>
            <w:shd w:val="clear" w:color="000000" w:fill="D9D9D9"/>
            <w:noWrap/>
            <w:vAlign w:val="bottom"/>
            <w:hideMark/>
          </w:tcPr>
          <w:p w14:paraId="0A5F7CD5"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D9D9D9"/>
            <w:noWrap/>
            <w:vAlign w:val="bottom"/>
            <w:hideMark/>
          </w:tcPr>
          <w:p w14:paraId="0C44A53D"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D9D9D9"/>
            <w:noWrap/>
            <w:vAlign w:val="bottom"/>
            <w:hideMark/>
          </w:tcPr>
          <w:p w14:paraId="4083CEEE"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1BA65C07"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6CC48335"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24E2CFD1"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29</w:t>
            </w:r>
          </w:p>
        </w:tc>
        <w:tc>
          <w:tcPr>
            <w:tcW w:w="763" w:type="dxa"/>
            <w:tcBorders>
              <w:top w:val="nil"/>
              <w:left w:val="nil"/>
              <w:bottom w:val="single" w:sz="4" w:space="0" w:color="auto"/>
              <w:right w:val="single" w:sz="4" w:space="0" w:color="auto"/>
            </w:tcBorders>
            <w:shd w:val="clear" w:color="000000" w:fill="D9D9D9"/>
            <w:noWrap/>
            <w:vAlign w:val="bottom"/>
            <w:hideMark/>
          </w:tcPr>
          <w:p w14:paraId="2C4B5BC5"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1602" w:type="dxa"/>
            <w:tcBorders>
              <w:top w:val="nil"/>
              <w:left w:val="nil"/>
              <w:bottom w:val="single" w:sz="4" w:space="0" w:color="auto"/>
              <w:right w:val="single" w:sz="4" w:space="0" w:color="auto"/>
            </w:tcBorders>
            <w:shd w:val="clear" w:color="000000" w:fill="D9D9D9"/>
            <w:noWrap/>
            <w:vAlign w:val="bottom"/>
            <w:hideMark/>
          </w:tcPr>
          <w:p w14:paraId="620C5C0C"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0,4</w:t>
            </w:r>
          </w:p>
        </w:tc>
        <w:tc>
          <w:tcPr>
            <w:tcW w:w="907" w:type="dxa"/>
            <w:tcBorders>
              <w:top w:val="nil"/>
              <w:left w:val="nil"/>
              <w:bottom w:val="single" w:sz="4" w:space="0" w:color="auto"/>
              <w:right w:val="single" w:sz="4" w:space="0" w:color="auto"/>
            </w:tcBorders>
            <w:shd w:val="clear" w:color="000000" w:fill="D9D9D9"/>
            <w:noWrap/>
            <w:vAlign w:val="bottom"/>
            <w:hideMark/>
          </w:tcPr>
          <w:p w14:paraId="0F341D24"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1129" w:type="dxa"/>
            <w:tcBorders>
              <w:top w:val="nil"/>
              <w:left w:val="nil"/>
              <w:bottom w:val="single" w:sz="4" w:space="0" w:color="auto"/>
              <w:right w:val="single" w:sz="4" w:space="0" w:color="auto"/>
            </w:tcBorders>
            <w:shd w:val="clear" w:color="000000" w:fill="D9D9D9"/>
            <w:noWrap/>
            <w:vAlign w:val="bottom"/>
            <w:hideMark/>
          </w:tcPr>
          <w:p w14:paraId="5D4EAD51"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nil"/>
              <w:left w:val="nil"/>
              <w:bottom w:val="single" w:sz="4" w:space="0" w:color="auto"/>
              <w:right w:val="single" w:sz="4" w:space="0" w:color="auto"/>
            </w:tcBorders>
            <w:shd w:val="clear" w:color="000000" w:fill="D9D9D9"/>
            <w:noWrap/>
            <w:vAlign w:val="bottom"/>
            <w:hideMark/>
          </w:tcPr>
          <w:p w14:paraId="2E5BE1F4"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15F82C34"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445AF5AF"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49EA6A8F"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30</w:t>
            </w:r>
          </w:p>
        </w:tc>
        <w:tc>
          <w:tcPr>
            <w:tcW w:w="763" w:type="dxa"/>
            <w:tcBorders>
              <w:top w:val="nil"/>
              <w:left w:val="nil"/>
              <w:bottom w:val="single" w:sz="4" w:space="0" w:color="auto"/>
              <w:right w:val="single" w:sz="4" w:space="0" w:color="auto"/>
            </w:tcBorders>
            <w:shd w:val="clear" w:color="000000" w:fill="D9D9D9"/>
            <w:noWrap/>
            <w:vAlign w:val="bottom"/>
            <w:hideMark/>
          </w:tcPr>
          <w:p w14:paraId="4106D5C7"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1602" w:type="dxa"/>
            <w:tcBorders>
              <w:top w:val="nil"/>
              <w:left w:val="nil"/>
              <w:bottom w:val="single" w:sz="4" w:space="0" w:color="auto"/>
              <w:right w:val="single" w:sz="4" w:space="0" w:color="auto"/>
            </w:tcBorders>
            <w:shd w:val="clear" w:color="000000" w:fill="D9D9D9"/>
            <w:noWrap/>
            <w:vAlign w:val="bottom"/>
            <w:hideMark/>
          </w:tcPr>
          <w:p w14:paraId="3E44075D"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0,4</w:t>
            </w:r>
          </w:p>
        </w:tc>
        <w:tc>
          <w:tcPr>
            <w:tcW w:w="907" w:type="dxa"/>
            <w:tcBorders>
              <w:top w:val="nil"/>
              <w:left w:val="nil"/>
              <w:bottom w:val="single" w:sz="4" w:space="0" w:color="auto"/>
              <w:right w:val="single" w:sz="4" w:space="0" w:color="auto"/>
            </w:tcBorders>
            <w:shd w:val="clear" w:color="000000" w:fill="D9D9D9"/>
            <w:noWrap/>
            <w:vAlign w:val="bottom"/>
            <w:hideMark/>
          </w:tcPr>
          <w:p w14:paraId="52DB4CFB"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1129" w:type="dxa"/>
            <w:tcBorders>
              <w:top w:val="nil"/>
              <w:left w:val="nil"/>
              <w:bottom w:val="single" w:sz="4" w:space="0" w:color="auto"/>
              <w:right w:val="single" w:sz="4" w:space="0" w:color="auto"/>
            </w:tcBorders>
            <w:shd w:val="clear" w:color="000000" w:fill="D9D9D9"/>
            <w:noWrap/>
            <w:vAlign w:val="bottom"/>
            <w:hideMark/>
          </w:tcPr>
          <w:p w14:paraId="42251CFD"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D9D9D9"/>
            <w:noWrap/>
            <w:vAlign w:val="bottom"/>
            <w:hideMark/>
          </w:tcPr>
          <w:p w14:paraId="24D5EDA7"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3E0AEE0B"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23BE6753"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709024AC"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31</w:t>
            </w:r>
          </w:p>
        </w:tc>
        <w:tc>
          <w:tcPr>
            <w:tcW w:w="763" w:type="dxa"/>
            <w:tcBorders>
              <w:top w:val="nil"/>
              <w:left w:val="nil"/>
              <w:bottom w:val="single" w:sz="4" w:space="0" w:color="auto"/>
              <w:right w:val="single" w:sz="4" w:space="0" w:color="auto"/>
            </w:tcBorders>
            <w:shd w:val="clear" w:color="000000" w:fill="D9D9D9"/>
            <w:noWrap/>
            <w:vAlign w:val="bottom"/>
            <w:hideMark/>
          </w:tcPr>
          <w:p w14:paraId="64DBBC1D"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1602" w:type="dxa"/>
            <w:tcBorders>
              <w:top w:val="nil"/>
              <w:left w:val="nil"/>
              <w:bottom w:val="single" w:sz="4" w:space="0" w:color="auto"/>
              <w:right w:val="single" w:sz="4" w:space="0" w:color="auto"/>
            </w:tcBorders>
            <w:shd w:val="clear" w:color="000000" w:fill="D9D9D9"/>
            <w:noWrap/>
            <w:vAlign w:val="bottom"/>
            <w:hideMark/>
          </w:tcPr>
          <w:p w14:paraId="5CCC9873"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0,4</w:t>
            </w:r>
          </w:p>
        </w:tc>
        <w:tc>
          <w:tcPr>
            <w:tcW w:w="907" w:type="dxa"/>
            <w:tcBorders>
              <w:top w:val="nil"/>
              <w:left w:val="nil"/>
              <w:bottom w:val="single" w:sz="4" w:space="0" w:color="auto"/>
              <w:right w:val="single" w:sz="4" w:space="0" w:color="auto"/>
            </w:tcBorders>
            <w:shd w:val="clear" w:color="000000" w:fill="D9D9D9"/>
            <w:noWrap/>
            <w:vAlign w:val="bottom"/>
            <w:hideMark/>
          </w:tcPr>
          <w:p w14:paraId="30014D8B"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D9D9D9"/>
            <w:noWrap/>
            <w:vAlign w:val="bottom"/>
            <w:hideMark/>
          </w:tcPr>
          <w:p w14:paraId="3D089833"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nil"/>
              <w:left w:val="nil"/>
              <w:bottom w:val="single" w:sz="4" w:space="0" w:color="auto"/>
              <w:right w:val="single" w:sz="4" w:space="0" w:color="auto"/>
            </w:tcBorders>
            <w:shd w:val="clear" w:color="000000" w:fill="D9D9D9"/>
            <w:noWrap/>
            <w:vAlign w:val="bottom"/>
            <w:hideMark/>
          </w:tcPr>
          <w:p w14:paraId="0DC3BA0B"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28C4DF7C"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011C3700"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5A8E955F"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32</w:t>
            </w:r>
          </w:p>
        </w:tc>
        <w:tc>
          <w:tcPr>
            <w:tcW w:w="763" w:type="dxa"/>
            <w:tcBorders>
              <w:top w:val="nil"/>
              <w:left w:val="nil"/>
              <w:bottom w:val="single" w:sz="4" w:space="0" w:color="auto"/>
              <w:right w:val="single" w:sz="4" w:space="0" w:color="auto"/>
            </w:tcBorders>
            <w:shd w:val="clear" w:color="000000" w:fill="D9D9D9"/>
            <w:noWrap/>
            <w:vAlign w:val="bottom"/>
            <w:hideMark/>
          </w:tcPr>
          <w:p w14:paraId="2B053C86"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1602" w:type="dxa"/>
            <w:tcBorders>
              <w:top w:val="nil"/>
              <w:left w:val="nil"/>
              <w:bottom w:val="single" w:sz="4" w:space="0" w:color="auto"/>
              <w:right w:val="single" w:sz="4" w:space="0" w:color="auto"/>
            </w:tcBorders>
            <w:shd w:val="clear" w:color="000000" w:fill="D9D9D9"/>
            <w:noWrap/>
            <w:vAlign w:val="bottom"/>
            <w:hideMark/>
          </w:tcPr>
          <w:p w14:paraId="02EFA073"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0,4</w:t>
            </w:r>
          </w:p>
        </w:tc>
        <w:tc>
          <w:tcPr>
            <w:tcW w:w="907" w:type="dxa"/>
            <w:tcBorders>
              <w:top w:val="nil"/>
              <w:left w:val="nil"/>
              <w:bottom w:val="single" w:sz="4" w:space="0" w:color="auto"/>
              <w:right w:val="single" w:sz="4" w:space="0" w:color="auto"/>
            </w:tcBorders>
            <w:shd w:val="clear" w:color="000000" w:fill="D9D9D9"/>
            <w:noWrap/>
            <w:vAlign w:val="bottom"/>
            <w:hideMark/>
          </w:tcPr>
          <w:p w14:paraId="3DEAFEFE"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D9D9D9"/>
            <w:noWrap/>
            <w:vAlign w:val="bottom"/>
            <w:hideMark/>
          </w:tcPr>
          <w:p w14:paraId="7B453E59"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D9D9D9"/>
            <w:noWrap/>
            <w:vAlign w:val="bottom"/>
            <w:hideMark/>
          </w:tcPr>
          <w:p w14:paraId="2A75D8A4"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0604CC3F"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5CC17838"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3276B1A0"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33</w:t>
            </w:r>
          </w:p>
        </w:tc>
        <w:tc>
          <w:tcPr>
            <w:tcW w:w="763" w:type="dxa"/>
            <w:tcBorders>
              <w:top w:val="nil"/>
              <w:left w:val="nil"/>
              <w:bottom w:val="single" w:sz="4" w:space="0" w:color="auto"/>
              <w:right w:val="single" w:sz="4" w:space="0" w:color="auto"/>
            </w:tcBorders>
            <w:shd w:val="clear" w:color="000000" w:fill="D9D9D9"/>
            <w:noWrap/>
            <w:vAlign w:val="bottom"/>
            <w:hideMark/>
          </w:tcPr>
          <w:p w14:paraId="0E890A91"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1602" w:type="dxa"/>
            <w:tcBorders>
              <w:top w:val="nil"/>
              <w:left w:val="nil"/>
              <w:bottom w:val="single" w:sz="4" w:space="0" w:color="auto"/>
              <w:right w:val="single" w:sz="4" w:space="0" w:color="auto"/>
            </w:tcBorders>
            <w:shd w:val="clear" w:color="000000" w:fill="D9D9D9"/>
            <w:noWrap/>
            <w:vAlign w:val="bottom"/>
            <w:hideMark/>
          </w:tcPr>
          <w:p w14:paraId="3A670793"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2,6</w:t>
            </w:r>
          </w:p>
        </w:tc>
        <w:tc>
          <w:tcPr>
            <w:tcW w:w="907" w:type="dxa"/>
            <w:tcBorders>
              <w:top w:val="nil"/>
              <w:left w:val="nil"/>
              <w:bottom w:val="single" w:sz="4" w:space="0" w:color="auto"/>
              <w:right w:val="single" w:sz="4" w:space="0" w:color="auto"/>
            </w:tcBorders>
            <w:shd w:val="clear" w:color="000000" w:fill="D9D9D9"/>
            <w:noWrap/>
            <w:vAlign w:val="bottom"/>
            <w:hideMark/>
          </w:tcPr>
          <w:p w14:paraId="1D9A58A6"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D9D9D9"/>
            <w:noWrap/>
            <w:vAlign w:val="bottom"/>
            <w:hideMark/>
          </w:tcPr>
          <w:p w14:paraId="4547A9FA"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D9D9D9"/>
            <w:noWrap/>
            <w:vAlign w:val="bottom"/>
            <w:hideMark/>
          </w:tcPr>
          <w:p w14:paraId="6950B535"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5844A6D7"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6B51221D"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052DEEB0"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34</w:t>
            </w:r>
          </w:p>
        </w:tc>
        <w:tc>
          <w:tcPr>
            <w:tcW w:w="763" w:type="dxa"/>
            <w:tcBorders>
              <w:top w:val="nil"/>
              <w:left w:val="nil"/>
              <w:bottom w:val="single" w:sz="4" w:space="0" w:color="auto"/>
              <w:right w:val="single" w:sz="4" w:space="0" w:color="auto"/>
            </w:tcBorders>
            <w:shd w:val="clear" w:color="000000" w:fill="D9D9D9"/>
            <w:noWrap/>
            <w:vAlign w:val="bottom"/>
            <w:hideMark/>
          </w:tcPr>
          <w:p w14:paraId="4E2A9075"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1602" w:type="dxa"/>
            <w:tcBorders>
              <w:top w:val="nil"/>
              <w:left w:val="nil"/>
              <w:bottom w:val="single" w:sz="4" w:space="0" w:color="auto"/>
              <w:right w:val="single" w:sz="4" w:space="0" w:color="auto"/>
            </w:tcBorders>
            <w:shd w:val="clear" w:color="000000" w:fill="D9D9D9"/>
            <w:noWrap/>
            <w:vAlign w:val="bottom"/>
            <w:hideMark/>
          </w:tcPr>
          <w:p w14:paraId="51F4AD06"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1,5</w:t>
            </w:r>
          </w:p>
        </w:tc>
        <w:tc>
          <w:tcPr>
            <w:tcW w:w="907" w:type="dxa"/>
            <w:tcBorders>
              <w:top w:val="nil"/>
              <w:left w:val="nil"/>
              <w:bottom w:val="single" w:sz="4" w:space="0" w:color="auto"/>
              <w:right w:val="single" w:sz="4" w:space="0" w:color="auto"/>
            </w:tcBorders>
            <w:shd w:val="clear" w:color="000000" w:fill="D9D9D9"/>
            <w:noWrap/>
            <w:vAlign w:val="bottom"/>
            <w:hideMark/>
          </w:tcPr>
          <w:p w14:paraId="329E94D3"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D9D9D9"/>
            <w:noWrap/>
            <w:vAlign w:val="bottom"/>
            <w:hideMark/>
          </w:tcPr>
          <w:p w14:paraId="08C02DBC"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D9D9D9"/>
            <w:noWrap/>
            <w:vAlign w:val="bottom"/>
            <w:hideMark/>
          </w:tcPr>
          <w:p w14:paraId="4FA738EC"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5D3F9557"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473DB85E"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2296A7E0"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35</w:t>
            </w:r>
          </w:p>
        </w:tc>
        <w:tc>
          <w:tcPr>
            <w:tcW w:w="763" w:type="dxa"/>
            <w:tcBorders>
              <w:top w:val="nil"/>
              <w:left w:val="nil"/>
              <w:bottom w:val="single" w:sz="4" w:space="0" w:color="auto"/>
              <w:right w:val="single" w:sz="4" w:space="0" w:color="auto"/>
            </w:tcBorders>
            <w:shd w:val="clear" w:color="000000" w:fill="D9D9D9"/>
            <w:noWrap/>
            <w:vAlign w:val="bottom"/>
            <w:hideMark/>
          </w:tcPr>
          <w:p w14:paraId="08B3013D"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1602" w:type="dxa"/>
            <w:tcBorders>
              <w:top w:val="nil"/>
              <w:left w:val="nil"/>
              <w:bottom w:val="single" w:sz="4" w:space="0" w:color="auto"/>
              <w:right w:val="single" w:sz="4" w:space="0" w:color="auto"/>
            </w:tcBorders>
            <w:shd w:val="clear" w:color="000000" w:fill="D9D9D9"/>
            <w:noWrap/>
            <w:vAlign w:val="bottom"/>
            <w:hideMark/>
          </w:tcPr>
          <w:p w14:paraId="564331DD"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3,7</w:t>
            </w:r>
          </w:p>
        </w:tc>
        <w:tc>
          <w:tcPr>
            <w:tcW w:w="907" w:type="dxa"/>
            <w:tcBorders>
              <w:top w:val="nil"/>
              <w:left w:val="nil"/>
              <w:bottom w:val="single" w:sz="4" w:space="0" w:color="auto"/>
              <w:right w:val="single" w:sz="4" w:space="0" w:color="auto"/>
            </w:tcBorders>
            <w:shd w:val="clear" w:color="000000" w:fill="D9D9D9"/>
            <w:noWrap/>
            <w:vAlign w:val="bottom"/>
            <w:hideMark/>
          </w:tcPr>
          <w:p w14:paraId="6ADCC7AB"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D9D9D9"/>
            <w:noWrap/>
            <w:vAlign w:val="bottom"/>
            <w:hideMark/>
          </w:tcPr>
          <w:p w14:paraId="32E4E9E7"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D9D9D9"/>
            <w:noWrap/>
            <w:vAlign w:val="bottom"/>
            <w:hideMark/>
          </w:tcPr>
          <w:p w14:paraId="12EE0349"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5000BC1E"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56970651"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25D6D673"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36</w:t>
            </w:r>
          </w:p>
        </w:tc>
        <w:tc>
          <w:tcPr>
            <w:tcW w:w="763" w:type="dxa"/>
            <w:tcBorders>
              <w:top w:val="nil"/>
              <w:left w:val="nil"/>
              <w:bottom w:val="single" w:sz="4" w:space="0" w:color="auto"/>
              <w:right w:val="single" w:sz="4" w:space="0" w:color="auto"/>
            </w:tcBorders>
            <w:shd w:val="clear" w:color="000000" w:fill="D9D9D9"/>
            <w:noWrap/>
            <w:vAlign w:val="bottom"/>
            <w:hideMark/>
          </w:tcPr>
          <w:p w14:paraId="3DEDCD9F"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1602" w:type="dxa"/>
            <w:tcBorders>
              <w:top w:val="nil"/>
              <w:left w:val="nil"/>
              <w:bottom w:val="single" w:sz="4" w:space="0" w:color="auto"/>
              <w:right w:val="single" w:sz="4" w:space="0" w:color="auto"/>
            </w:tcBorders>
            <w:shd w:val="clear" w:color="000000" w:fill="D9D9D9"/>
            <w:noWrap/>
            <w:vAlign w:val="bottom"/>
            <w:hideMark/>
          </w:tcPr>
          <w:p w14:paraId="66F6306A"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0,2</w:t>
            </w:r>
          </w:p>
        </w:tc>
        <w:tc>
          <w:tcPr>
            <w:tcW w:w="907" w:type="dxa"/>
            <w:tcBorders>
              <w:top w:val="nil"/>
              <w:left w:val="nil"/>
              <w:bottom w:val="single" w:sz="4" w:space="0" w:color="auto"/>
              <w:right w:val="single" w:sz="4" w:space="0" w:color="auto"/>
            </w:tcBorders>
            <w:shd w:val="clear" w:color="000000" w:fill="D9D9D9"/>
            <w:noWrap/>
            <w:vAlign w:val="bottom"/>
            <w:hideMark/>
          </w:tcPr>
          <w:p w14:paraId="0DAC42AE"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1129" w:type="dxa"/>
            <w:tcBorders>
              <w:top w:val="nil"/>
              <w:left w:val="nil"/>
              <w:bottom w:val="single" w:sz="4" w:space="0" w:color="auto"/>
              <w:right w:val="single" w:sz="4" w:space="0" w:color="auto"/>
            </w:tcBorders>
            <w:shd w:val="clear" w:color="000000" w:fill="D9D9D9"/>
            <w:noWrap/>
            <w:vAlign w:val="bottom"/>
            <w:hideMark/>
          </w:tcPr>
          <w:p w14:paraId="2486BD77"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nil"/>
              <w:left w:val="nil"/>
              <w:bottom w:val="single" w:sz="4" w:space="0" w:color="auto"/>
              <w:right w:val="single" w:sz="4" w:space="0" w:color="auto"/>
            </w:tcBorders>
            <w:shd w:val="clear" w:color="000000" w:fill="D9D9D9"/>
            <w:noWrap/>
            <w:vAlign w:val="bottom"/>
            <w:hideMark/>
          </w:tcPr>
          <w:p w14:paraId="601F572B"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2D5FFDC4"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24C59721"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7ADA4184"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37</w:t>
            </w:r>
          </w:p>
        </w:tc>
        <w:tc>
          <w:tcPr>
            <w:tcW w:w="763" w:type="dxa"/>
            <w:tcBorders>
              <w:top w:val="nil"/>
              <w:left w:val="nil"/>
              <w:bottom w:val="single" w:sz="4" w:space="0" w:color="auto"/>
              <w:right w:val="single" w:sz="4" w:space="0" w:color="auto"/>
            </w:tcBorders>
            <w:shd w:val="clear" w:color="000000" w:fill="D9D9D9"/>
            <w:noWrap/>
            <w:vAlign w:val="bottom"/>
            <w:hideMark/>
          </w:tcPr>
          <w:p w14:paraId="22105AF8"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w:t>
            </w:r>
          </w:p>
        </w:tc>
        <w:tc>
          <w:tcPr>
            <w:tcW w:w="1602" w:type="dxa"/>
            <w:tcBorders>
              <w:top w:val="nil"/>
              <w:left w:val="nil"/>
              <w:bottom w:val="single" w:sz="4" w:space="0" w:color="auto"/>
              <w:right w:val="single" w:sz="4" w:space="0" w:color="auto"/>
            </w:tcBorders>
            <w:shd w:val="clear" w:color="000000" w:fill="D9D9D9"/>
            <w:noWrap/>
            <w:vAlign w:val="bottom"/>
            <w:hideMark/>
          </w:tcPr>
          <w:p w14:paraId="687E92DD"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0,1,2</w:t>
            </w:r>
          </w:p>
        </w:tc>
        <w:tc>
          <w:tcPr>
            <w:tcW w:w="907" w:type="dxa"/>
            <w:tcBorders>
              <w:top w:val="nil"/>
              <w:left w:val="nil"/>
              <w:bottom w:val="single" w:sz="4" w:space="0" w:color="auto"/>
              <w:right w:val="single" w:sz="4" w:space="0" w:color="auto"/>
            </w:tcBorders>
            <w:shd w:val="clear" w:color="000000" w:fill="D9D9D9"/>
            <w:noWrap/>
            <w:vAlign w:val="bottom"/>
            <w:hideMark/>
          </w:tcPr>
          <w:p w14:paraId="5AD52005"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1129" w:type="dxa"/>
            <w:tcBorders>
              <w:top w:val="nil"/>
              <w:left w:val="nil"/>
              <w:bottom w:val="single" w:sz="4" w:space="0" w:color="auto"/>
              <w:right w:val="single" w:sz="4" w:space="0" w:color="auto"/>
            </w:tcBorders>
            <w:shd w:val="clear" w:color="000000" w:fill="D9D9D9"/>
            <w:noWrap/>
            <w:vAlign w:val="bottom"/>
            <w:hideMark/>
          </w:tcPr>
          <w:p w14:paraId="3D3A43B2"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nil"/>
              <w:left w:val="nil"/>
              <w:bottom w:val="single" w:sz="4" w:space="0" w:color="auto"/>
              <w:right w:val="single" w:sz="4" w:space="0" w:color="auto"/>
            </w:tcBorders>
            <w:shd w:val="clear" w:color="000000" w:fill="D9D9D9"/>
            <w:noWrap/>
            <w:vAlign w:val="bottom"/>
            <w:hideMark/>
          </w:tcPr>
          <w:p w14:paraId="7F43E25F"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6A504720"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42BBF6D1"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4B43942B"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38</w:t>
            </w:r>
          </w:p>
        </w:tc>
        <w:tc>
          <w:tcPr>
            <w:tcW w:w="763" w:type="dxa"/>
            <w:tcBorders>
              <w:top w:val="nil"/>
              <w:left w:val="nil"/>
              <w:bottom w:val="single" w:sz="4" w:space="0" w:color="auto"/>
              <w:right w:val="single" w:sz="4" w:space="0" w:color="auto"/>
            </w:tcBorders>
            <w:shd w:val="clear" w:color="000000" w:fill="D9D9D9"/>
            <w:noWrap/>
            <w:vAlign w:val="bottom"/>
            <w:hideMark/>
          </w:tcPr>
          <w:p w14:paraId="7A9824E3"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w:t>
            </w:r>
          </w:p>
        </w:tc>
        <w:tc>
          <w:tcPr>
            <w:tcW w:w="1602" w:type="dxa"/>
            <w:tcBorders>
              <w:top w:val="nil"/>
              <w:left w:val="nil"/>
              <w:bottom w:val="single" w:sz="4" w:space="0" w:color="auto"/>
              <w:right w:val="single" w:sz="4" w:space="0" w:color="auto"/>
            </w:tcBorders>
            <w:shd w:val="clear" w:color="000000" w:fill="D9D9D9"/>
            <w:noWrap/>
            <w:vAlign w:val="bottom"/>
            <w:hideMark/>
          </w:tcPr>
          <w:p w14:paraId="39CC0E8D"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0,4,2</w:t>
            </w:r>
          </w:p>
        </w:tc>
        <w:tc>
          <w:tcPr>
            <w:tcW w:w="907" w:type="dxa"/>
            <w:tcBorders>
              <w:top w:val="nil"/>
              <w:left w:val="nil"/>
              <w:bottom w:val="single" w:sz="4" w:space="0" w:color="auto"/>
              <w:right w:val="single" w:sz="4" w:space="0" w:color="auto"/>
            </w:tcBorders>
            <w:shd w:val="clear" w:color="000000" w:fill="D9D9D9"/>
            <w:noWrap/>
            <w:vAlign w:val="bottom"/>
            <w:hideMark/>
          </w:tcPr>
          <w:p w14:paraId="64571B40"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1129" w:type="dxa"/>
            <w:tcBorders>
              <w:top w:val="nil"/>
              <w:left w:val="nil"/>
              <w:bottom w:val="single" w:sz="4" w:space="0" w:color="auto"/>
              <w:right w:val="single" w:sz="4" w:space="0" w:color="auto"/>
            </w:tcBorders>
            <w:shd w:val="clear" w:color="000000" w:fill="D9D9D9"/>
            <w:noWrap/>
            <w:vAlign w:val="bottom"/>
            <w:hideMark/>
          </w:tcPr>
          <w:p w14:paraId="7CBD52E5"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nil"/>
              <w:left w:val="nil"/>
              <w:bottom w:val="single" w:sz="4" w:space="0" w:color="auto"/>
              <w:right w:val="single" w:sz="4" w:space="0" w:color="auto"/>
            </w:tcBorders>
            <w:shd w:val="clear" w:color="000000" w:fill="D9D9D9"/>
            <w:noWrap/>
            <w:vAlign w:val="bottom"/>
            <w:hideMark/>
          </w:tcPr>
          <w:p w14:paraId="06220392"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61EFAC90"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29B26287"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3FF875FC"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39</w:t>
            </w:r>
          </w:p>
        </w:tc>
        <w:tc>
          <w:tcPr>
            <w:tcW w:w="763" w:type="dxa"/>
            <w:tcBorders>
              <w:top w:val="nil"/>
              <w:left w:val="nil"/>
              <w:bottom w:val="single" w:sz="4" w:space="0" w:color="auto"/>
              <w:right w:val="single" w:sz="4" w:space="0" w:color="auto"/>
            </w:tcBorders>
            <w:shd w:val="clear" w:color="000000" w:fill="D9D9D9"/>
            <w:noWrap/>
            <w:vAlign w:val="bottom"/>
            <w:hideMark/>
          </w:tcPr>
          <w:p w14:paraId="39D31805"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w:t>
            </w:r>
          </w:p>
        </w:tc>
        <w:tc>
          <w:tcPr>
            <w:tcW w:w="1602" w:type="dxa"/>
            <w:tcBorders>
              <w:top w:val="nil"/>
              <w:left w:val="nil"/>
              <w:bottom w:val="single" w:sz="4" w:space="0" w:color="auto"/>
              <w:right w:val="single" w:sz="4" w:space="0" w:color="auto"/>
            </w:tcBorders>
            <w:shd w:val="clear" w:color="000000" w:fill="D9D9D9"/>
            <w:noWrap/>
            <w:vAlign w:val="bottom"/>
            <w:hideMark/>
          </w:tcPr>
          <w:p w14:paraId="724D38A0"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0,1,4</w:t>
            </w:r>
          </w:p>
        </w:tc>
        <w:tc>
          <w:tcPr>
            <w:tcW w:w="907" w:type="dxa"/>
            <w:tcBorders>
              <w:top w:val="nil"/>
              <w:left w:val="nil"/>
              <w:bottom w:val="single" w:sz="4" w:space="0" w:color="auto"/>
              <w:right w:val="single" w:sz="4" w:space="0" w:color="auto"/>
            </w:tcBorders>
            <w:shd w:val="clear" w:color="000000" w:fill="D9D9D9"/>
            <w:noWrap/>
            <w:vAlign w:val="bottom"/>
            <w:hideMark/>
          </w:tcPr>
          <w:p w14:paraId="178256E7"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1129" w:type="dxa"/>
            <w:tcBorders>
              <w:top w:val="nil"/>
              <w:left w:val="nil"/>
              <w:bottom w:val="single" w:sz="4" w:space="0" w:color="auto"/>
              <w:right w:val="single" w:sz="4" w:space="0" w:color="auto"/>
            </w:tcBorders>
            <w:shd w:val="clear" w:color="000000" w:fill="D9D9D9"/>
            <w:noWrap/>
            <w:vAlign w:val="bottom"/>
            <w:hideMark/>
          </w:tcPr>
          <w:p w14:paraId="7E4C8A4C"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nil"/>
              <w:left w:val="nil"/>
              <w:bottom w:val="single" w:sz="4" w:space="0" w:color="auto"/>
              <w:right w:val="single" w:sz="4" w:space="0" w:color="auto"/>
            </w:tcBorders>
            <w:shd w:val="clear" w:color="000000" w:fill="D9D9D9"/>
            <w:noWrap/>
            <w:vAlign w:val="bottom"/>
            <w:hideMark/>
          </w:tcPr>
          <w:p w14:paraId="59627028"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307593C3"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3550BB53"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3B7AA1D8"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40</w:t>
            </w:r>
          </w:p>
        </w:tc>
        <w:tc>
          <w:tcPr>
            <w:tcW w:w="763" w:type="dxa"/>
            <w:tcBorders>
              <w:top w:val="nil"/>
              <w:left w:val="nil"/>
              <w:bottom w:val="single" w:sz="4" w:space="0" w:color="auto"/>
              <w:right w:val="single" w:sz="4" w:space="0" w:color="auto"/>
            </w:tcBorders>
            <w:shd w:val="clear" w:color="000000" w:fill="D9D9D9"/>
            <w:noWrap/>
            <w:vAlign w:val="bottom"/>
            <w:hideMark/>
          </w:tcPr>
          <w:p w14:paraId="6A9FBC46"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w:t>
            </w:r>
          </w:p>
        </w:tc>
        <w:tc>
          <w:tcPr>
            <w:tcW w:w="1602" w:type="dxa"/>
            <w:tcBorders>
              <w:top w:val="nil"/>
              <w:left w:val="nil"/>
              <w:bottom w:val="single" w:sz="4" w:space="0" w:color="auto"/>
              <w:right w:val="single" w:sz="4" w:space="0" w:color="auto"/>
            </w:tcBorders>
            <w:shd w:val="clear" w:color="000000" w:fill="D9D9D9"/>
            <w:noWrap/>
            <w:vAlign w:val="bottom"/>
            <w:hideMark/>
          </w:tcPr>
          <w:p w14:paraId="0D06BD59"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0,1,4</w:t>
            </w:r>
          </w:p>
        </w:tc>
        <w:tc>
          <w:tcPr>
            <w:tcW w:w="907" w:type="dxa"/>
            <w:tcBorders>
              <w:top w:val="nil"/>
              <w:left w:val="nil"/>
              <w:bottom w:val="single" w:sz="4" w:space="0" w:color="auto"/>
              <w:right w:val="single" w:sz="4" w:space="0" w:color="auto"/>
            </w:tcBorders>
            <w:shd w:val="clear" w:color="000000" w:fill="D9D9D9"/>
            <w:noWrap/>
            <w:vAlign w:val="bottom"/>
            <w:hideMark/>
          </w:tcPr>
          <w:p w14:paraId="569AB2BB"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1129" w:type="dxa"/>
            <w:tcBorders>
              <w:top w:val="nil"/>
              <w:left w:val="nil"/>
              <w:bottom w:val="single" w:sz="4" w:space="0" w:color="auto"/>
              <w:right w:val="single" w:sz="4" w:space="0" w:color="auto"/>
            </w:tcBorders>
            <w:shd w:val="clear" w:color="000000" w:fill="D9D9D9"/>
            <w:noWrap/>
            <w:vAlign w:val="bottom"/>
            <w:hideMark/>
          </w:tcPr>
          <w:p w14:paraId="07C7A101"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4" w:space="0" w:color="auto"/>
              <w:right w:val="single" w:sz="4" w:space="0" w:color="auto"/>
            </w:tcBorders>
            <w:shd w:val="clear" w:color="000000" w:fill="D9D9D9"/>
            <w:noWrap/>
            <w:vAlign w:val="bottom"/>
            <w:hideMark/>
          </w:tcPr>
          <w:p w14:paraId="10785A84"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74352170"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40D4E6FB"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752F3FE2"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41</w:t>
            </w:r>
          </w:p>
        </w:tc>
        <w:tc>
          <w:tcPr>
            <w:tcW w:w="763" w:type="dxa"/>
            <w:tcBorders>
              <w:top w:val="nil"/>
              <w:left w:val="nil"/>
              <w:bottom w:val="single" w:sz="4" w:space="0" w:color="auto"/>
              <w:right w:val="single" w:sz="4" w:space="0" w:color="auto"/>
            </w:tcBorders>
            <w:shd w:val="clear" w:color="000000" w:fill="D9D9D9"/>
            <w:noWrap/>
            <w:vAlign w:val="bottom"/>
            <w:hideMark/>
          </w:tcPr>
          <w:p w14:paraId="30B2AE0C"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w:t>
            </w:r>
          </w:p>
        </w:tc>
        <w:tc>
          <w:tcPr>
            <w:tcW w:w="1602" w:type="dxa"/>
            <w:tcBorders>
              <w:top w:val="nil"/>
              <w:left w:val="nil"/>
              <w:bottom w:val="single" w:sz="4" w:space="0" w:color="auto"/>
              <w:right w:val="single" w:sz="4" w:space="0" w:color="auto"/>
            </w:tcBorders>
            <w:shd w:val="clear" w:color="000000" w:fill="D9D9D9"/>
            <w:noWrap/>
            <w:vAlign w:val="bottom"/>
            <w:hideMark/>
          </w:tcPr>
          <w:p w14:paraId="51CBE065"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0,1,4</w:t>
            </w:r>
          </w:p>
        </w:tc>
        <w:tc>
          <w:tcPr>
            <w:tcW w:w="907" w:type="dxa"/>
            <w:tcBorders>
              <w:top w:val="nil"/>
              <w:left w:val="nil"/>
              <w:bottom w:val="single" w:sz="4" w:space="0" w:color="auto"/>
              <w:right w:val="single" w:sz="4" w:space="0" w:color="auto"/>
            </w:tcBorders>
            <w:shd w:val="clear" w:color="000000" w:fill="D9D9D9"/>
            <w:noWrap/>
            <w:vAlign w:val="bottom"/>
            <w:hideMark/>
          </w:tcPr>
          <w:p w14:paraId="156C5AF6"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4" w:space="0" w:color="auto"/>
              <w:right w:val="single" w:sz="4" w:space="0" w:color="auto"/>
            </w:tcBorders>
            <w:shd w:val="clear" w:color="000000" w:fill="D9D9D9"/>
            <w:noWrap/>
            <w:vAlign w:val="bottom"/>
            <w:hideMark/>
          </w:tcPr>
          <w:p w14:paraId="78EA41CA"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nil"/>
              <w:left w:val="nil"/>
              <w:bottom w:val="single" w:sz="4" w:space="0" w:color="auto"/>
              <w:right w:val="single" w:sz="4" w:space="0" w:color="auto"/>
            </w:tcBorders>
            <w:shd w:val="clear" w:color="000000" w:fill="D9D9D9"/>
            <w:noWrap/>
            <w:vAlign w:val="bottom"/>
            <w:hideMark/>
          </w:tcPr>
          <w:p w14:paraId="4DEAEBF3"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486AB600"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23101C93"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42AE01E0"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42</w:t>
            </w:r>
          </w:p>
        </w:tc>
        <w:tc>
          <w:tcPr>
            <w:tcW w:w="763" w:type="dxa"/>
            <w:tcBorders>
              <w:top w:val="nil"/>
              <w:left w:val="nil"/>
              <w:bottom w:val="single" w:sz="8" w:space="0" w:color="auto"/>
              <w:right w:val="single" w:sz="4" w:space="0" w:color="auto"/>
            </w:tcBorders>
            <w:shd w:val="clear" w:color="000000" w:fill="D9D9D9"/>
            <w:noWrap/>
            <w:vAlign w:val="bottom"/>
            <w:hideMark/>
          </w:tcPr>
          <w:p w14:paraId="288ACE49"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3</w:t>
            </w:r>
          </w:p>
        </w:tc>
        <w:tc>
          <w:tcPr>
            <w:tcW w:w="1602" w:type="dxa"/>
            <w:tcBorders>
              <w:top w:val="nil"/>
              <w:left w:val="nil"/>
              <w:bottom w:val="single" w:sz="8" w:space="0" w:color="auto"/>
              <w:right w:val="single" w:sz="4" w:space="0" w:color="auto"/>
            </w:tcBorders>
            <w:shd w:val="clear" w:color="000000" w:fill="D9D9D9"/>
            <w:noWrap/>
            <w:vAlign w:val="bottom"/>
            <w:hideMark/>
          </w:tcPr>
          <w:p w14:paraId="70188D2D"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0,1,4</w:t>
            </w:r>
          </w:p>
        </w:tc>
        <w:tc>
          <w:tcPr>
            <w:tcW w:w="907" w:type="dxa"/>
            <w:tcBorders>
              <w:top w:val="nil"/>
              <w:left w:val="nil"/>
              <w:bottom w:val="single" w:sz="8" w:space="0" w:color="auto"/>
              <w:right w:val="single" w:sz="4" w:space="0" w:color="auto"/>
            </w:tcBorders>
            <w:shd w:val="clear" w:color="000000" w:fill="D9D9D9"/>
            <w:noWrap/>
            <w:vAlign w:val="bottom"/>
            <w:hideMark/>
          </w:tcPr>
          <w:p w14:paraId="78ECDC33"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8" w:space="0" w:color="auto"/>
              <w:right w:val="single" w:sz="4" w:space="0" w:color="auto"/>
            </w:tcBorders>
            <w:shd w:val="clear" w:color="000000" w:fill="D9D9D9"/>
            <w:noWrap/>
            <w:vAlign w:val="bottom"/>
            <w:hideMark/>
          </w:tcPr>
          <w:p w14:paraId="31C87D40"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654" w:type="dxa"/>
            <w:tcBorders>
              <w:top w:val="nil"/>
              <w:left w:val="nil"/>
              <w:bottom w:val="single" w:sz="8" w:space="0" w:color="auto"/>
              <w:right w:val="single" w:sz="4" w:space="0" w:color="auto"/>
            </w:tcBorders>
            <w:shd w:val="clear" w:color="000000" w:fill="D9D9D9"/>
            <w:noWrap/>
            <w:vAlign w:val="bottom"/>
            <w:hideMark/>
          </w:tcPr>
          <w:p w14:paraId="7379C94D"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8" w:space="0" w:color="auto"/>
              <w:right w:val="single" w:sz="4" w:space="0" w:color="auto"/>
            </w:tcBorders>
            <w:shd w:val="clear" w:color="000000" w:fill="D9D9D9"/>
            <w:noWrap/>
            <w:vAlign w:val="bottom"/>
            <w:hideMark/>
          </w:tcPr>
          <w:p w14:paraId="222C9300"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0C7130A8"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3C25085F"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43</w:t>
            </w:r>
          </w:p>
        </w:tc>
        <w:tc>
          <w:tcPr>
            <w:tcW w:w="763" w:type="dxa"/>
            <w:tcBorders>
              <w:top w:val="single" w:sz="4" w:space="0" w:color="auto"/>
              <w:left w:val="nil"/>
              <w:bottom w:val="single" w:sz="4" w:space="0" w:color="auto"/>
              <w:right w:val="single" w:sz="4" w:space="0" w:color="auto"/>
            </w:tcBorders>
            <w:shd w:val="clear" w:color="000000" w:fill="D9D9D9"/>
            <w:noWrap/>
            <w:vAlign w:val="bottom"/>
            <w:hideMark/>
          </w:tcPr>
          <w:p w14:paraId="73BEFD99"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4</w:t>
            </w:r>
          </w:p>
        </w:tc>
        <w:tc>
          <w:tcPr>
            <w:tcW w:w="1602" w:type="dxa"/>
            <w:tcBorders>
              <w:top w:val="single" w:sz="4" w:space="0" w:color="auto"/>
              <w:left w:val="nil"/>
              <w:bottom w:val="single" w:sz="4" w:space="0" w:color="auto"/>
              <w:right w:val="single" w:sz="4" w:space="0" w:color="auto"/>
            </w:tcBorders>
            <w:shd w:val="clear" w:color="000000" w:fill="D9D9D9"/>
            <w:noWrap/>
            <w:vAlign w:val="bottom"/>
            <w:hideMark/>
          </w:tcPr>
          <w:p w14:paraId="0113D5AA"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0,1,2,3</w:t>
            </w:r>
          </w:p>
        </w:tc>
        <w:tc>
          <w:tcPr>
            <w:tcW w:w="907" w:type="dxa"/>
            <w:tcBorders>
              <w:top w:val="single" w:sz="4" w:space="0" w:color="auto"/>
              <w:left w:val="nil"/>
              <w:bottom w:val="single" w:sz="4" w:space="0" w:color="auto"/>
              <w:right w:val="single" w:sz="4" w:space="0" w:color="auto"/>
            </w:tcBorders>
            <w:shd w:val="clear" w:color="000000" w:fill="D9D9D9"/>
            <w:noWrap/>
            <w:vAlign w:val="bottom"/>
            <w:hideMark/>
          </w:tcPr>
          <w:p w14:paraId="70F890A1"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1129" w:type="dxa"/>
            <w:tcBorders>
              <w:top w:val="single" w:sz="4" w:space="0" w:color="auto"/>
              <w:left w:val="nil"/>
              <w:bottom w:val="single" w:sz="4" w:space="0" w:color="auto"/>
              <w:right w:val="single" w:sz="4" w:space="0" w:color="auto"/>
            </w:tcBorders>
            <w:shd w:val="clear" w:color="000000" w:fill="D9D9D9"/>
            <w:noWrap/>
            <w:vAlign w:val="bottom"/>
            <w:hideMark/>
          </w:tcPr>
          <w:p w14:paraId="0AD16156"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single" w:sz="4" w:space="0" w:color="auto"/>
              <w:left w:val="nil"/>
              <w:bottom w:val="single" w:sz="4" w:space="0" w:color="auto"/>
              <w:right w:val="single" w:sz="4" w:space="0" w:color="auto"/>
            </w:tcBorders>
            <w:shd w:val="clear" w:color="000000" w:fill="D9D9D9"/>
            <w:noWrap/>
            <w:vAlign w:val="bottom"/>
            <w:hideMark/>
          </w:tcPr>
          <w:p w14:paraId="1D8FCE07"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single" w:sz="4" w:space="0" w:color="auto"/>
              <w:left w:val="nil"/>
              <w:bottom w:val="single" w:sz="4" w:space="0" w:color="auto"/>
              <w:right w:val="single" w:sz="4" w:space="0" w:color="auto"/>
            </w:tcBorders>
            <w:shd w:val="clear" w:color="000000" w:fill="D9D9D9"/>
            <w:noWrap/>
            <w:vAlign w:val="bottom"/>
            <w:hideMark/>
          </w:tcPr>
          <w:p w14:paraId="30DF9558"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w:t>
            </w:r>
          </w:p>
        </w:tc>
      </w:tr>
      <w:tr w:rsidR="007259A1" w:rsidRPr="007259A1" w14:paraId="59DFAA0A"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6D644EC8"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44</w:t>
            </w:r>
          </w:p>
        </w:tc>
        <w:tc>
          <w:tcPr>
            <w:tcW w:w="763" w:type="dxa"/>
            <w:tcBorders>
              <w:top w:val="nil"/>
              <w:left w:val="nil"/>
              <w:bottom w:val="single" w:sz="4" w:space="0" w:color="auto"/>
              <w:right w:val="single" w:sz="4" w:space="0" w:color="auto"/>
            </w:tcBorders>
            <w:shd w:val="clear" w:color="000000" w:fill="D9D9D9"/>
            <w:noWrap/>
            <w:vAlign w:val="bottom"/>
            <w:hideMark/>
          </w:tcPr>
          <w:p w14:paraId="3C2F3FE0"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4</w:t>
            </w:r>
          </w:p>
        </w:tc>
        <w:tc>
          <w:tcPr>
            <w:tcW w:w="1602" w:type="dxa"/>
            <w:tcBorders>
              <w:top w:val="nil"/>
              <w:left w:val="nil"/>
              <w:bottom w:val="single" w:sz="4" w:space="0" w:color="auto"/>
              <w:right w:val="single" w:sz="4" w:space="0" w:color="auto"/>
            </w:tcBorders>
            <w:shd w:val="clear" w:color="000000" w:fill="D9D9D9"/>
            <w:noWrap/>
            <w:vAlign w:val="bottom"/>
            <w:hideMark/>
          </w:tcPr>
          <w:p w14:paraId="7BB23988"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0,4,2,6</w:t>
            </w:r>
          </w:p>
        </w:tc>
        <w:tc>
          <w:tcPr>
            <w:tcW w:w="907" w:type="dxa"/>
            <w:tcBorders>
              <w:top w:val="nil"/>
              <w:left w:val="nil"/>
              <w:bottom w:val="single" w:sz="4" w:space="0" w:color="auto"/>
              <w:right w:val="single" w:sz="4" w:space="0" w:color="auto"/>
            </w:tcBorders>
            <w:shd w:val="clear" w:color="000000" w:fill="D9D9D9"/>
            <w:noWrap/>
            <w:vAlign w:val="bottom"/>
            <w:hideMark/>
          </w:tcPr>
          <w:p w14:paraId="7F560958"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1129" w:type="dxa"/>
            <w:tcBorders>
              <w:top w:val="nil"/>
              <w:left w:val="nil"/>
              <w:bottom w:val="single" w:sz="4" w:space="0" w:color="auto"/>
              <w:right w:val="single" w:sz="4" w:space="0" w:color="auto"/>
            </w:tcBorders>
            <w:shd w:val="clear" w:color="000000" w:fill="D9D9D9"/>
            <w:noWrap/>
            <w:vAlign w:val="bottom"/>
            <w:hideMark/>
          </w:tcPr>
          <w:p w14:paraId="22B16763"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nil"/>
              <w:left w:val="nil"/>
              <w:bottom w:val="single" w:sz="4" w:space="0" w:color="auto"/>
              <w:right w:val="single" w:sz="4" w:space="0" w:color="auto"/>
            </w:tcBorders>
            <w:shd w:val="clear" w:color="000000" w:fill="D9D9D9"/>
            <w:noWrap/>
            <w:vAlign w:val="bottom"/>
            <w:hideMark/>
          </w:tcPr>
          <w:p w14:paraId="0AD80288"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1BE5CC69"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4F0A10A6"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748B2FED"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45</w:t>
            </w:r>
          </w:p>
        </w:tc>
        <w:tc>
          <w:tcPr>
            <w:tcW w:w="763" w:type="dxa"/>
            <w:tcBorders>
              <w:top w:val="nil"/>
              <w:left w:val="nil"/>
              <w:bottom w:val="single" w:sz="4" w:space="0" w:color="auto"/>
              <w:right w:val="single" w:sz="4" w:space="0" w:color="auto"/>
            </w:tcBorders>
            <w:shd w:val="clear" w:color="000000" w:fill="D9D9D9"/>
            <w:noWrap/>
            <w:vAlign w:val="bottom"/>
            <w:hideMark/>
          </w:tcPr>
          <w:p w14:paraId="1ABA7F53"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4</w:t>
            </w:r>
          </w:p>
        </w:tc>
        <w:tc>
          <w:tcPr>
            <w:tcW w:w="1602" w:type="dxa"/>
            <w:tcBorders>
              <w:top w:val="nil"/>
              <w:left w:val="nil"/>
              <w:bottom w:val="single" w:sz="4" w:space="0" w:color="auto"/>
              <w:right w:val="single" w:sz="4" w:space="0" w:color="auto"/>
            </w:tcBorders>
            <w:shd w:val="clear" w:color="000000" w:fill="D9D9D9"/>
            <w:noWrap/>
            <w:vAlign w:val="bottom"/>
            <w:hideMark/>
          </w:tcPr>
          <w:p w14:paraId="7FB3601A"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0,1,4,5</w:t>
            </w:r>
          </w:p>
        </w:tc>
        <w:tc>
          <w:tcPr>
            <w:tcW w:w="907" w:type="dxa"/>
            <w:tcBorders>
              <w:top w:val="nil"/>
              <w:left w:val="nil"/>
              <w:bottom w:val="single" w:sz="4" w:space="0" w:color="auto"/>
              <w:right w:val="single" w:sz="4" w:space="0" w:color="auto"/>
            </w:tcBorders>
            <w:shd w:val="clear" w:color="000000" w:fill="D9D9D9"/>
            <w:noWrap/>
            <w:vAlign w:val="bottom"/>
            <w:hideMark/>
          </w:tcPr>
          <w:p w14:paraId="1F7AB431"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Yes</w:t>
            </w:r>
          </w:p>
        </w:tc>
        <w:tc>
          <w:tcPr>
            <w:tcW w:w="1129" w:type="dxa"/>
            <w:tcBorders>
              <w:top w:val="nil"/>
              <w:left w:val="nil"/>
              <w:bottom w:val="single" w:sz="4" w:space="0" w:color="auto"/>
              <w:right w:val="single" w:sz="4" w:space="0" w:color="auto"/>
            </w:tcBorders>
            <w:shd w:val="clear" w:color="000000" w:fill="D9D9D9"/>
            <w:noWrap/>
            <w:vAlign w:val="bottom"/>
            <w:hideMark/>
          </w:tcPr>
          <w:p w14:paraId="415F8142"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654" w:type="dxa"/>
            <w:tcBorders>
              <w:top w:val="nil"/>
              <w:left w:val="nil"/>
              <w:bottom w:val="single" w:sz="4" w:space="0" w:color="auto"/>
              <w:right w:val="single" w:sz="4" w:space="0" w:color="auto"/>
            </w:tcBorders>
            <w:shd w:val="clear" w:color="000000" w:fill="D9D9D9"/>
            <w:noWrap/>
            <w:vAlign w:val="bottom"/>
            <w:hideMark/>
          </w:tcPr>
          <w:p w14:paraId="07EEA96E"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4" w:space="0" w:color="auto"/>
              <w:right w:val="single" w:sz="4" w:space="0" w:color="auto"/>
            </w:tcBorders>
            <w:shd w:val="clear" w:color="000000" w:fill="D9D9D9"/>
            <w:noWrap/>
            <w:vAlign w:val="bottom"/>
            <w:hideMark/>
          </w:tcPr>
          <w:p w14:paraId="69E69C60"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4245E8EE"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502DA139"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46</w:t>
            </w:r>
          </w:p>
        </w:tc>
        <w:tc>
          <w:tcPr>
            <w:tcW w:w="763" w:type="dxa"/>
            <w:tcBorders>
              <w:top w:val="nil"/>
              <w:left w:val="nil"/>
              <w:bottom w:val="single" w:sz="8" w:space="0" w:color="auto"/>
              <w:right w:val="single" w:sz="4" w:space="0" w:color="auto"/>
            </w:tcBorders>
            <w:shd w:val="clear" w:color="000000" w:fill="D9D9D9"/>
            <w:noWrap/>
            <w:vAlign w:val="bottom"/>
            <w:hideMark/>
          </w:tcPr>
          <w:p w14:paraId="018ED749"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4</w:t>
            </w:r>
          </w:p>
        </w:tc>
        <w:tc>
          <w:tcPr>
            <w:tcW w:w="1602" w:type="dxa"/>
            <w:tcBorders>
              <w:top w:val="nil"/>
              <w:left w:val="nil"/>
              <w:bottom w:val="single" w:sz="8" w:space="0" w:color="auto"/>
              <w:right w:val="single" w:sz="4" w:space="0" w:color="auto"/>
            </w:tcBorders>
            <w:shd w:val="clear" w:color="000000" w:fill="D9D9D9"/>
            <w:noWrap/>
            <w:vAlign w:val="bottom"/>
            <w:hideMark/>
          </w:tcPr>
          <w:p w14:paraId="5FE5BB3F"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0,1,4,5</w:t>
            </w:r>
          </w:p>
        </w:tc>
        <w:tc>
          <w:tcPr>
            <w:tcW w:w="907" w:type="dxa"/>
            <w:tcBorders>
              <w:top w:val="nil"/>
              <w:left w:val="nil"/>
              <w:bottom w:val="single" w:sz="8" w:space="0" w:color="auto"/>
              <w:right w:val="single" w:sz="4" w:space="0" w:color="auto"/>
            </w:tcBorders>
            <w:shd w:val="clear" w:color="000000" w:fill="D9D9D9"/>
            <w:noWrap/>
            <w:vAlign w:val="bottom"/>
            <w:hideMark/>
          </w:tcPr>
          <w:p w14:paraId="0B4D54C8"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1129" w:type="dxa"/>
            <w:tcBorders>
              <w:top w:val="nil"/>
              <w:left w:val="nil"/>
              <w:bottom w:val="single" w:sz="8" w:space="0" w:color="auto"/>
              <w:right w:val="single" w:sz="4" w:space="0" w:color="auto"/>
            </w:tcBorders>
            <w:shd w:val="clear" w:color="000000" w:fill="D9D9D9"/>
            <w:noWrap/>
            <w:vAlign w:val="bottom"/>
            <w:hideMark/>
          </w:tcPr>
          <w:p w14:paraId="30BA2305"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654" w:type="dxa"/>
            <w:tcBorders>
              <w:top w:val="nil"/>
              <w:left w:val="nil"/>
              <w:bottom w:val="single" w:sz="8" w:space="0" w:color="auto"/>
              <w:right w:val="single" w:sz="4" w:space="0" w:color="auto"/>
            </w:tcBorders>
            <w:shd w:val="clear" w:color="000000" w:fill="D9D9D9"/>
            <w:noWrap/>
            <w:vAlign w:val="bottom"/>
            <w:hideMark/>
          </w:tcPr>
          <w:p w14:paraId="6FDE50A7"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8" w:space="0" w:color="auto"/>
              <w:right w:val="single" w:sz="4" w:space="0" w:color="auto"/>
            </w:tcBorders>
            <w:shd w:val="clear" w:color="000000" w:fill="D9D9D9"/>
            <w:noWrap/>
            <w:vAlign w:val="bottom"/>
            <w:hideMark/>
          </w:tcPr>
          <w:p w14:paraId="3EC90EB4"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71DE8335"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0F05CEA0"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47</w:t>
            </w:r>
          </w:p>
        </w:tc>
        <w:tc>
          <w:tcPr>
            <w:tcW w:w="763" w:type="dxa"/>
            <w:tcBorders>
              <w:top w:val="nil"/>
              <w:left w:val="nil"/>
              <w:bottom w:val="single" w:sz="8" w:space="0" w:color="auto"/>
              <w:right w:val="single" w:sz="4" w:space="0" w:color="auto"/>
            </w:tcBorders>
            <w:shd w:val="clear" w:color="000000" w:fill="D9D9D9"/>
            <w:noWrap/>
            <w:vAlign w:val="bottom"/>
            <w:hideMark/>
          </w:tcPr>
          <w:p w14:paraId="6CD493A2"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5</w:t>
            </w:r>
          </w:p>
        </w:tc>
        <w:tc>
          <w:tcPr>
            <w:tcW w:w="1602" w:type="dxa"/>
            <w:tcBorders>
              <w:top w:val="nil"/>
              <w:left w:val="nil"/>
              <w:bottom w:val="single" w:sz="8" w:space="0" w:color="auto"/>
              <w:right w:val="single" w:sz="4" w:space="0" w:color="auto"/>
            </w:tcBorders>
            <w:shd w:val="clear" w:color="000000" w:fill="D9D9D9"/>
            <w:noWrap/>
            <w:vAlign w:val="bottom"/>
            <w:hideMark/>
          </w:tcPr>
          <w:p w14:paraId="3230A0F1"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0,4,2,6,1</w:t>
            </w:r>
          </w:p>
        </w:tc>
        <w:tc>
          <w:tcPr>
            <w:tcW w:w="907" w:type="dxa"/>
            <w:tcBorders>
              <w:top w:val="nil"/>
              <w:left w:val="nil"/>
              <w:bottom w:val="single" w:sz="8" w:space="0" w:color="auto"/>
              <w:right w:val="single" w:sz="4" w:space="0" w:color="auto"/>
            </w:tcBorders>
            <w:shd w:val="clear" w:color="000000" w:fill="D9D9D9"/>
            <w:noWrap/>
            <w:vAlign w:val="bottom"/>
            <w:hideMark/>
          </w:tcPr>
          <w:p w14:paraId="0E9B1765"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1129" w:type="dxa"/>
            <w:tcBorders>
              <w:top w:val="nil"/>
              <w:left w:val="nil"/>
              <w:bottom w:val="single" w:sz="8" w:space="0" w:color="auto"/>
              <w:right w:val="single" w:sz="4" w:space="0" w:color="auto"/>
            </w:tcBorders>
            <w:shd w:val="clear" w:color="000000" w:fill="D9D9D9"/>
            <w:noWrap/>
            <w:vAlign w:val="bottom"/>
            <w:hideMark/>
          </w:tcPr>
          <w:p w14:paraId="6EDD28FF"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nil"/>
              <w:left w:val="nil"/>
              <w:bottom w:val="single" w:sz="8" w:space="0" w:color="auto"/>
              <w:right w:val="single" w:sz="4" w:space="0" w:color="auto"/>
            </w:tcBorders>
            <w:shd w:val="clear" w:color="000000" w:fill="D9D9D9"/>
            <w:noWrap/>
            <w:vAlign w:val="bottom"/>
            <w:hideMark/>
          </w:tcPr>
          <w:p w14:paraId="357ABE64"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single" w:sz="4" w:space="0" w:color="auto"/>
              <w:left w:val="nil"/>
              <w:bottom w:val="single" w:sz="4" w:space="0" w:color="auto"/>
              <w:right w:val="single" w:sz="4" w:space="0" w:color="auto"/>
            </w:tcBorders>
            <w:shd w:val="clear" w:color="000000" w:fill="D9D9D9"/>
            <w:noWrap/>
            <w:vAlign w:val="bottom"/>
            <w:hideMark/>
          </w:tcPr>
          <w:p w14:paraId="40E6D0A1"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7C27A39B"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005C767A"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48</w:t>
            </w:r>
          </w:p>
        </w:tc>
        <w:tc>
          <w:tcPr>
            <w:tcW w:w="763" w:type="dxa"/>
            <w:tcBorders>
              <w:top w:val="nil"/>
              <w:left w:val="nil"/>
              <w:bottom w:val="single" w:sz="8" w:space="0" w:color="auto"/>
              <w:right w:val="single" w:sz="4" w:space="0" w:color="auto"/>
            </w:tcBorders>
            <w:shd w:val="clear" w:color="000000" w:fill="D9D9D9"/>
            <w:noWrap/>
            <w:vAlign w:val="bottom"/>
            <w:hideMark/>
          </w:tcPr>
          <w:p w14:paraId="7639E149"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6</w:t>
            </w:r>
          </w:p>
        </w:tc>
        <w:tc>
          <w:tcPr>
            <w:tcW w:w="1602" w:type="dxa"/>
            <w:tcBorders>
              <w:top w:val="nil"/>
              <w:left w:val="nil"/>
              <w:bottom w:val="single" w:sz="8" w:space="0" w:color="auto"/>
              <w:right w:val="single" w:sz="4" w:space="0" w:color="auto"/>
            </w:tcBorders>
            <w:shd w:val="clear" w:color="000000" w:fill="D9D9D9"/>
            <w:noWrap/>
            <w:vAlign w:val="bottom"/>
            <w:hideMark/>
          </w:tcPr>
          <w:p w14:paraId="2584ABDA"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0,4,2,6,1,3</w:t>
            </w:r>
          </w:p>
        </w:tc>
        <w:tc>
          <w:tcPr>
            <w:tcW w:w="907" w:type="dxa"/>
            <w:tcBorders>
              <w:top w:val="nil"/>
              <w:left w:val="nil"/>
              <w:bottom w:val="single" w:sz="8" w:space="0" w:color="auto"/>
              <w:right w:val="single" w:sz="4" w:space="0" w:color="auto"/>
            </w:tcBorders>
            <w:shd w:val="clear" w:color="000000" w:fill="D9D9D9"/>
            <w:noWrap/>
            <w:vAlign w:val="bottom"/>
            <w:hideMark/>
          </w:tcPr>
          <w:p w14:paraId="6DC1957F"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1129" w:type="dxa"/>
            <w:tcBorders>
              <w:top w:val="nil"/>
              <w:left w:val="nil"/>
              <w:bottom w:val="single" w:sz="8" w:space="0" w:color="auto"/>
              <w:right w:val="single" w:sz="4" w:space="0" w:color="auto"/>
            </w:tcBorders>
            <w:shd w:val="clear" w:color="000000" w:fill="D9D9D9"/>
            <w:noWrap/>
            <w:vAlign w:val="bottom"/>
            <w:hideMark/>
          </w:tcPr>
          <w:p w14:paraId="36911808"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nil"/>
              <w:left w:val="nil"/>
              <w:bottom w:val="single" w:sz="8" w:space="0" w:color="auto"/>
              <w:right w:val="single" w:sz="4" w:space="0" w:color="auto"/>
            </w:tcBorders>
            <w:shd w:val="clear" w:color="000000" w:fill="D9D9D9"/>
            <w:noWrap/>
            <w:vAlign w:val="bottom"/>
            <w:hideMark/>
          </w:tcPr>
          <w:p w14:paraId="7753BE26"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8" w:space="0" w:color="auto"/>
              <w:right w:val="single" w:sz="4" w:space="0" w:color="auto"/>
            </w:tcBorders>
            <w:shd w:val="clear" w:color="000000" w:fill="D9D9D9"/>
            <w:noWrap/>
            <w:vAlign w:val="bottom"/>
            <w:hideMark/>
          </w:tcPr>
          <w:p w14:paraId="62B2B070"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5964FD8A" w14:textId="77777777" w:rsidTr="007E2296">
        <w:trPr>
          <w:trHeight w:val="60"/>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17BC793B"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49</w:t>
            </w:r>
          </w:p>
        </w:tc>
        <w:tc>
          <w:tcPr>
            <w:tcW w:w="763" w:type="dxa"/>
            <w:tcBorders>
              <w:top w:val="nil"/>
              <w:left w:val="nil"/>
              <w:bottom w:val="single" w:sz="8" w:space="0" w:color="auto"/>
              <w:right w:val="single" w:sz="4" w:space="0" w:color="auto"/>
            </w:tcBorders>
            <w:shd w:val="clear" w:color="000000" w:fill="D9D9D9"/>
            <w:noWrap/>
            <w:vAlign w:val="bottom"/>
            <w:hideMark/>
          </w:tcPr>
          <w:p w14:paraId="34839318"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7</w:t>
            </w:r>
          </w:p>
        </w:tc>
        <w:tc>
          <w:tcPr>
            <w:tcW w:w="1602" w:type="dxa"/>
            <w:tcBorders>
              <w:top w:val="nil"/>
              <w:left w:val="nil"/>
              <w:bottom w:val="single" w:sz="8" w:space="0" w:color="auto"/>
              <w:right w:val="single" w:sz="4" w:space="0" w:color="auto"/>
            </w:tcBorders>
            <w:shd w:val="clear" w:color="000000" w:fill="D9D9D9"/>
            <w:noWrap/>
            <w:vAlign w:val="bottom"/>
            <w:hideMark/>
          </w:tcPr>
          <w:p w14:paraId="36AEBE36"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0,4,2,6,1,3,5</w:t>
            </w:r>
          </w:p>
        </w:tc>
        <w:tc>
          <w:tcPr>
            <w:tcW w:w="907" w:type="dxa"/>
            <w:tcBorders>
              <w:top w:val="nil"/>
              <w:left w:val="nil"/>
              <w:bottom w:val="single" w:sz="8" w:space="0" w:color="auto"/>
              <w:right w:val="single" w:sz="4" w:space="0" w:color="auto"/>
            </w:tcBorders>
            <w:shd w:val="clear" w:color="000000" w:fill="D9D9D9"/>
            <w:noWrap/>
            <w:vAlign w:val="bottom"/>
            <w:hideMark/>
          </w:tcPr>
          <w:p w14:paraId="68C3E3D3"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1129" w:type="dxa"/>
            <w:tcBorders>
              <w:top w:val="nil"/>
              <w:left w:val="nil"/>
              <w:bottom w:val="single" w:sz="8" w:space="0" w:color="auto"/>
              <w:right w:val="single" w:sz="4" w:space="0" w:color="auto"/>
            </w:tcBorders>
            <w:shd w:val="clear" w:color="000000" w:fill="D9D9D9"/>
            <w:noWrap/>
            <w:vAlign w:val="bottom"/>
            <w:hideMark/>
          </w:tcPr>
          <w:p w14:paraId="3E07F70F"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No</w:t>
            </w:r>
          </w:p>
        </w:tc>
        <w:tc>
          <w:tcPr>
            <w:tcW w:w="654" w:type="dxa"/>
            <w:tcBorders>
              <w:top w:val="nil"/>
              <w:left w:val="nil"/>
              <w:bottom w:val="single" w:sz="8" w:space="0" w:color="auto"/>
              <w:right w:val="single" w:sz="4" w:space="0" w:color="auto"/>
            </w:tcBorders>
            <w:shd w:val="clear" w:color="000000" w:fill="D9D9D9"/>
            <w:noWrap/>
            <w:vAlign w:val="bottom"/>
            <w:hideMark/>
          </w:tcPr>
          <w:p w14:paraId="529DD962"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single" w:sz="4" w:space="0" w:color="auto"/>
              <w:left w:val="nil"/>
              <w:bottom w:val="single" w:sz="4" w:space="0" w:color="auto"/>
              <w:right w:val="single" w:sz="4" w:space="0" w:color="auto"/>
            </w:tcBorders>
            <w:shd w:val="clear" w:color="000000" w:fill="D9D9D9"/>
            <w:noWrap/>
            <w:vAlign w:val="bottom"/>
            <w:hideMark/>
          </w:tcPr>
          <w:p w14:paraId="0CA963C4"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r w:rsidR="007259A1" w:rsidRPr="007259A1" w14:paraId="5543C220" w14:textId="77777777" w:rsidTr="007259A1">
        <w:trPr>
          <w:jc w:val="center"/>
        </w:trPr>
        <w:tc>
          <w:tcPr>
            <w:tcW w:w="669" w:type="dxa"/>
            <w:tcBorders>
              <w:top w:val="nil"/>
              <w:left w:val="single" w:sz="4" w:space="0" w:color="auto"/>
              <w:bottom w:val="single" w:sz="4" w:space="0" w:color="auto"/>
              <w:right w:val="single" w:sz="4" w:space="0" w:color="auto"/>
            </w:tcBorders>
            <w:shd w:val="clear" w:color="000000" w:fill="F2F2F2"/>
            <w:noWrap/>
            <w:vAlign w:val="bottom"/>
            <w:hideMark/>
          </w:tcPr>
          <w:p w14:paraId="125F7ED6"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50</w:t>
            </w:r>
          </w:p>
        </w:tc>
        <w:tc>
          <w:tcPr>
            <w:tcW w:w="763" w:type="dxa"/>
            <w:tcBorders>
              <w:top w:val="nil"/>
              <w:left w:val="nil"/>
              <w:bottom w:val="single" w:sz="4" w:space="0" w:color="auto"/>
              <w:right w:val="single" w:sz="4" w:space="0" w:color="auto"/>
            </w:tcBorders>
            <w:shd w:val="clear" w:color="000000" w:fill="D9D9D9"/>
            <w:noWrap/>
            <w:vAlign w:val="bottom"/>
            <w:hideMark/>
          </w:tcPr>
          <w:p w14:paraId="74919A33" w14:textId="77777777" w:rsidR="007259A1" w:rsidRPr="007259A1" w:rsidRDefault="007259A1" w:rsidP="007259A1">
            <w:pPr>
              <w:overflowPunct/>
              <w:autoSpaceDE/>
              <w:autoSpaceDN/>
              <w:adjustRightInd/>
              <w:spacing w:after="0"/>
              <w:jc w:val="righ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8</w:t>
            </w:r>
          </w:p>
        </w:tc>
        <w:tc>
          <w:tcPr>
            <w:tcW w:w="1602" w:type="dxa"/>
            <w:tcBorders>
              <w:top w:val="nil"/>
              <w:left w:val="nil"/>
              <w:bottom w:val="single" w:sz="4" w:space="0" w:color="auto"/>
              <w:right w:val="single" w:sz="4" w:space="0" w:color="auto"/>
            </w:tcBorders>
            <w:shd w:val="clear" w:color="000000" w:fill="D9D9D9"/>
            <w:noWrap/>
            <w:vAlign w:val="bottom"/>
            <w:hideMark/>
          </w:tcPr>
          <w:p w14:paraId="10D59B27"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0,4,2,6,1,3,5,7</w:t>
            </w:r>
          </w:p>
        </w:tc>
        <w:tc>
          <w:tcPr>
            <w:tcW w:w="907" w:type="dxa"/>
            <w:tcBorders>
              <w:top w:val="nil"/>
              <w:left w:val="nil"/>
              <w:bottom w:val="single" w:sz="4" w:space="0" w:color="auto"/>
              <w:right w:val="single" w:sz="4" w:space="0" w:color="auto"/>
            </w:tcBorders>
            <w:shd w:val="clear" w:color="000000" w:fill="D9D9D9"/>
            <w:noWrap/>
            <w:vAlign w:val="bottom"/>
            <w:hideMark/>
          </w:tcPr>
          <w:p w14:paraId="6DADEE1F"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1129" w:type="dxa"/>
            <w:tcBorders>
              <w:top w:val="nil"/>
              <w:left w:val="nil"/>
              <w:bottom w:val="single" w:sz="4" w:space="0" w:color="auto"/>
              <w:right w:val="single" w:sz="4" w:space="0" w:color="auto"/>
            </w:tcBorders>
            <w:shd w:val="clear" w:color="000000" w:fill="D9D9D9"/>
            <w:noWrap/>
            <w:vAlign w:val="bottom"/>
            <w:hideMark/>
          </w:tcPr>
          <w:p w14:paraId="44951BFD" w14:textId="77777777" w:rsidR="007259A1" w:rsidRPr="007259A1" w:rsidRDefault="007259A1" w:rsidP="007259A1">
            <w:pPr>
              <w:overflowPunct/>
              <w:autoSpaceDE/>
              <w:autoSpaceDN/>
              <w:adjustRightInd/>
              <w:spacing w:after="0"/>
              <w:jc w:val="left"/>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c>
          <w:tcPr>
            <w:tcW w:w="654" w:type="dxa"/>
            <w:tcBorders>
              <w:top w:val="nil"/>
              <w:left w:val="nil"/>
              <w:bottom w:val="single" w:sz="4" w:space="0" w:color="auto"/>
              <w:right w:val="single" w:sz="4" w:space="0" w:color="auto"/>
            </w:tcBorders>
            <w:shd w:val="clear" w:color="000000" w:fill="D9D9D9"/>
            <w:noWrap/>
            <w:vAlign w:val="bottom"/>
            <w:hideMark/>
          </w:tcPr>
          <w:p w14:paraId="275F9526"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2</w:t>
            </w:r>
          </w:p>
        </w:tc>
        <w:tc>
          <w:tcPr>
            <w:tcW w:w="916" w:type="dxa"/>
            <w:tcBorders>
              <w:top w:val="nil"/>
              <w:left w:val="nil"/>
              <w:bottom w:val="single" w:sz="8" w:space="0" w:color="auto"/>
              <w:right w:val="single" w:sz="4" w:space="0" w:color="auto"/>
            </w:tcBorders>
            <w:shd w:val="clear" w:color="000000" w:fill="D9D9D9"/>
            <w:noWrap/>
            <w:vAlign w:val="bottom"/>
            <w:hideMark/>
          </w:tcPr>
          <w:p w14:paraId="18E99D49" w14:textId="77777777" w:rsidR="007259A1" w:rsidRPr="007259A1" w:rsidRDefault="007259A1" w:rsidP="007259A1">
            <w:pPr>
              <w:overflowPunct/>
              <w:autoSpaceDE/>
              <w:autoSpaceDN/>
              <w:adjustRightInd/>
              <w:spacing w:after="0"/>
              <w:jc w:val="center"/>
              <w:textAlignment w:val="auto"/>
              <w:rPr>
                <w:rFonts w:ascii="Calibri" w:hAnsi="Calibri"/>
                <w:color w:val="000000"/>
                <w:sz w:val="18"/>
                <w:szCs w:val="18"/>
                <w:lang w:val="sv-SE" w:eastAsia="sv-SE"/>
              </w:rPr>
            </w:pPr>
            <w:r w:rsidRPr="007259A1">
              <w:rPr>
                <w:rFonts w:ascii="Calibri" w:hAnsi="Calibri"/>
                <w:color w:val="000000"/>
                <w:sz w:val="18"/>
                <w:szCs w:val="18"/>
                <w:lang w:val="sv-SE" w:eastAsia="sv-SE"/>
              </w:rPr>
              <w:t>N/A</w:t>
            </w:r>
          </w:p>
        </w:tc>
      </w:tr>
    </w:tbl>
    <w:p w14:paraId="1A634E21" w14:textId="77777777" w:rsidR="00C009A1" w:rsidRPr="007259A1" w:rsidRDefault="00C009A1" w:rsidP="00851CB6"/>
    <w:p w14:paraId="0F07573F" w14:textId="77777777" w:rsidR="00743D20" w:rsidRDefault="00743D20" w:rsidP="00743D20">
      <w:pPr>
        <w:pStyle w:val="Heading1"/>
        <w:rPr>
          <w:lang w:eastAsia="ja-JP"/>
        </w:rPr>
      </w:pPr>
      <w:r>
        <w:rPr>
          <w:lang w:eastAsia="ja-JP"/>
        </w:rPr>
        <w:t>DMRS Sequences</w:t>
      </w:r>
    </w:p>
    <w:p w14:paraId="4299D4B6" w14:textId="1C3CBB9B" w:rsidR="00C06FA4" w:rsidRDefault="00743D20" w:rsidP="00C06FA4">
      <w:pPr>
        <w:pStyle w:val="Heading2"/>
        <w:rPr>
          <w:lang w:eastAsia="ja-JP"/>
        </w:rPr>
      </w:pPr>
      <w:r>
        <w:rPr>
          <w:lang w:eastAsia="ja-JP"/>
        </w:rPr>
        <w:t>Sequence for CP-OFDM</w:t>
      </w:r>
    </w:p>
    <w:p w14:paraId="219747D7" w14:textId="77777777" w:rsidR="007252A2" w:rsidRPr="007252A2" w:rsidRDefault="007252A2" w:rsidP="007252A2">
      <w:pPr>
        <w:pStyle w:val="BodyText"/>
        <w:rPr>
          <w:rStyle w:val="Strong"/>
          <w:b w:val="0"/>
          <w:szCs w:val="24"/>
        </w:rPr>
      </w:pPr>
      <w:r w:rsidRPr="007252A2">
        <w:rPr>
          <w:rStyle w:val="Strong"/>
          <w:b w:val="0"/>
          <w:szCs w:val="24"/>
        </w:rPr>
        <w:t>It has previously been decided that DM-RS for CP-OFDM shall be based on pseudo-random binary sequences referring to either length-31 Gold sequences or length-63 Gold sequences.</w:t>
      </w:r>
    </w:p>
    <w:p w14:paraId="43ABCA10" w14:textId="6DF76F32" w:rsidR="007252A2" w:rsidRPr="007252A2" w:rsidRDefault="007252A2" w:rsidP="007252A2">
      <w:pPr>
        <w:pStyle w:val="BodyText"/>
      </w:pPr>
      <w:r w:rsidRPr="007252A2">
        <w:t xml:space="preserve">Length-63 Gold sequences for PRBS based DM-RS should only be considered if it is not possible to find any 31-bit initialization expression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m:t>
            </m:r>
          </m:e>
        </m:d>
      </m:oMath>
      <w:r w:rsidRPr="007252A2">
        <w:t xml:space="preserve"> that provides sequences with correlation properties matching LTE. </w:t>
      </w:r>
      <w:r w:rsidRPr="007252A2">
        <w:lastRenderedPageBreak/>
        <w:t>Evidently, introducing length-63 Gold sequences would require a larger specification effort as both m-sequences and initialization method need to be specified.</w:t>
      </w:r>
    </w:p>
    <w:p w14:paraId="3073A22D" w14:textId="367C71D8" w:rsidR="007252A2" w:rsidRDefault="007252A2" w:rsidP="007252A2">
      <w:pPr>
        <w:pStyle w:val="BodyText"/>
      </w:pPr>
      <w:r w:rsidRPr="007252A2">
        <w:t>Based on the evaluations conducte</w:t>
      </w:r>
      <w:r w:rsidRPr="00E038C8">
        <w:t>d in</w:t>
      </w:r>
      <w:r w:rsidR="00E038C8">
        <w:t xml:space="preserve"> </w:t>
      </w:r>
      <w:r w:rsidR="00E038C8">
        <w:fldChar w:fldCharType="begin"/>
      </w:r>
      <w:r w:rsidR="00E038C8">
        <w:instrText xml:space="preserve"> REF _Ref498627810 \r \h </w:instrText>
      </w:r>
      <w:r w:rsidR="00E038C8">
        <w:fldChar w:fldCharType="separate"/>
      </w:r>
      <w:r w:rsidR="00037459">
        <w:t>[2]</w:t>
      </w:r>
      <w:r w:rsidR="00E038C8">
        <w:fldChar w:fldCharType="end"/>
      </w:r>
      <w:r w:rsidR="00E038C8" w:rsidRPr="00E038C8">
        <w:t>,</w:t>
      </w:r>
      <w:r w:rsidRPr="00E038C8">
        <w:t xml:space="preserve"> we</w:t>
      </w:r>
      <w:r w:rsidRPr="007252A2">
        <w:t xml:space="preserve"> conclude that it is possible to find an expression for </w:t>
      </w:r>
      <m:oMath>
        <m:sSub>
          <m:sSubPr>
            <m:ctrlPr>
              <w:rPr>
                <w:rFonts w:ascii="Cambria Math" w:hAnsi="Cambria Math"/>
                <w:i/>
              </w:rPr>
            </m:ctrlPr>
          </m:sSubPr>
          <m:e>
            <m:r>
              <w:rPr>
                <w:rFonts w:ascii="Cambria Math" w:hAnsi="Cambria Math"/>
              </w:rPr>
              <m:t>c</m:t>
            </m:r>
          </m:e>
          <m:sub>
            <m:r>
              <w:rPr>
                <w:rFonts w:ascii="Cambria Math" w:hAnsi="Cambria Math"/>
              </w:rPr>
              <m:t>init</m:t>
            </m:r>
          </m:sub>
        </m:sSub>
      </m:oMath>
      <w:r w:rsidRPr="007252A2">
        <w:t xml:space="preserve"> with maximum 31-bits that can provide DM-RS with correlation properties matching LTE, support 15-bits configurable scrambling IDs in conjunction with 10ms wrap around duration (as in LTE) of the symbol counter </w:t>
      </w:r>
      <m:oMath>
        <m:sSub>
          <m:sSubPr>
            <m:ctrlPr>
              <w:rPr>
                <w:rFonts w:ascii="Cambria Math" w:hAnsi="Cambria Math"/>
                <w:i/>
              </w:rPr>
            </m:ctrlPr>
          </m:sSubPr>
          <m:e>
            <m:r>
              <w:rPr>
                <w:rFonts w:ascii="Cambria Math" w:hAnsi="Cambria Math"/>
              </w:rPr>
              <m:t>t</m:t>
            </m:r>
          </m:e>
          <m:sub>
            <m:r>
              <w:rPr>
                <w:rFonts w:ascii="Cambria Math" w:hAnsi="Cambria Math"/>
              </w:rPr>
              <m:t>μ</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μ</m:t>
            </m:r>
          </m:sup>
        </m:sSubSup>
        <m:r>
          <w:rPr>
            <w:rFonts w:ascii="Cambria Math" w:hAnsi="Cambria Math"/>
          </w:rPr>
          <m:t>+l+1</m:t>
        </m:r>
      </m:oMath>
      <w:r w:rsidRPr="007252A2">
        <w:t>.</w:t>
      </w:r>
    </w:p>
    <w:p w14:paraId="0958176C" w14:textId="77777777" w:rsidR="008863CD" w:rsidRPr="00D8007F" w:rsidRDefault="008863CD" w:rsidP="008863CD">
      <w:pPr>
        <w:pStyle w:val="Proposal"/>
        <w:rPr>
          <w:rStyle w:val="Strong"/>
          <w:b/>
          <w:szCs w:val="24"/>
        </w:rPr>
      </w:pPr>
      <w:bookmarkStart w:id="112" w:name="_Toc498716640"/>
      <w:r w:rsidRPr="00D8007F">
        <w:rPr>
          <w:rStyle w:val="Strong"/>
          <w:b/>
          <w:szCs w:val="24"/>
        </w:rPr>
        <w:t>The length-31 Gold sequence generator (same as LTE) is used to generate PRBS based DM-RS sequences in both DL and UL</w:t>
      </w:r>
      <w:bookmarkEnd w:id="112"/>
    </w:p>
    <w:p w14:paraId="217CA93B" w14:textId="0DCB4CA7" w:rsidR="007252A2" w:rsidRDefault="007252A2" w:rsidP="007252A2">
      <w:pPr>
        <w:pStyle w:val="BodyText"/>
        <w:rPr>
          <w:rStyle w:val="Strong"/>
          <w:b w:val="0"/>
          <w:bCs w:val="0"/>
        </w:rPr>
      </w:pPr>
      <w:r w:rsidRPr="007252A2">
        <w:rPr>
          <w:rStyle w:val="Strong"/>
          <w:b w:val="0"/>
          <w:bCs w:val="0"/>
        </w:rPr>
        <w:t xml:space="preserve">The design of </w:t>
      </w:r>
      <m:oMath>
        <m:sSub>
          <m:sSubPr>
            <m:ctrlPr>
              <w:rPr>
                <w:rFonts w:ascii="Cambria Math" w:hAnsi="Cambria Math"/>
              </w:rPr>
            </m:ctrlPr>
          </m:sSubPr>
          <m:e>
            <m:r>
              <w:rPr>
                <w:rStyle w:val="Strong"/>
                <w:rFonts w:ascii="Cambria Math" w:hAnsi="Cambria Math"/>
              </w:rPr>
              <m:t>c</m:t>
            </m:r>
          </m:e>
          <m:sub>
            <m:r>
              <w:rPr>
                <w:rStyle w:val="Strong"/>
                <w:rFonts w:ascii="Cambria Math" w:hAnsi="Cambria Math"/>
              </w:rPr>
              <m:t>init</m:t>
            </m:r>
          </m:sub>
        </m:sSub>
      </m:oMath>
      <w:r w:rsidRPr="007252A2">
        <w:rPr>
          <w:rStyle w:val="Strong"/>
          <w:b w:val="0"/>
          <w:bCs w:val="0"/>
        </w:rPr>
        <w:t xml:space="preserve"> is discussed in </w:t>
      </w:r>
      <w:r w:rsidR="00E038C8">
        <w:rPr>
          <w:rStyle w:val="Strong"/>
          <w:b w:val="0"/>
          <w:bCs w:val="0"/>
          <w:highlight w:val="yellow"/>
        </w:rPr>
        <w:fldChar w:fldCharType="begin"/>
      </w:r>
      <w:r w:rsidR="00E038C8">
        <w:rPr>
          <w:rStyle w:val="Strong"/>
          <w:b w:val="0"/>
          <w:bCs w:val="0"/>
        </w:rPr>
        <w:instrText xml:space="preserve"> REF _Ref498627810 \r \h </w:instrText>
      </w:r>
      <w:r w:rsidR="00E038C8">
        <w:rPr>
          <w:rStyle w:val="Strong"/>
          <w:b w:val="0"/>
          <w:bCs w:val="0"/>
          <w:highlight w:val="yellow"/>
        </w:rPr>
      </w:r>
      <w:r w:rsidR="00E038C8">
        <w:rPr>
          <w:rStyle w:val="Strong"/>
          <w:b w:val="0"/>
          <w:bCs w:val="0"/>
          <w:highlight w:val="yellow"/>
        </w:rPr>
        <w:fldChar w:fldCharType="separate"/>
      </w:r>
      <w:r w:rsidR="00037459">
        <w:rPr>
          <w:rStyle w:val="Strong"/>
          <w:b w:val="0"/>
          <w:bCs w:val="0"/>
        </w:rPr>
        <w:t>[2]</w:t>
      </w:r>
      <w:r w:rsidR="00E038C8">
        <w:rPr>
          <w:rStyle w:val="Strong"/>
          <w:b w:val="0"/>
          <w:bCs w:val="0"/>
          <w:highlight w:val="yellow"/>
        </w:rPr>
        <w:fldChar w:fldCharType="end"/>
      </w:r>
      <w:r w:rsidR="00E038C8">
        <w:rPr>
          <w:rStyle w:val="Strong"/>
          <w:b w:val="0"/>
          <w:bCs w:val="0"/>
        </w:rPr>
        <w:t xml:space="preserve"> </w:t>
      </w:r>
      <w:r w:rsidRPr="007252A2">
        <w:rPr>
          <w:rStyle w:val="Strong"/>
          <w:b w:val="0"/>
          <w:bCs w:val="0"/>
        </w:rPr>
        <w:t xml:space="preserve">where we propose to have a common structure of </w:t>
      </w:r>
      <m:oMath>
        <m:sSub>
          <m:sSubPr>
            <m:ctrlPr>
              <w:rPr>
                <w:rFonts w:ascii="Cambria Math" w:hAnsi="Cambria Math"/>
              </w:rPr>
            </m:ctrlPr>
          </m:sSubPr>
          <m:e>
            <m:r>
              <w:rPr>
                <w:rStyle w:val="Strong"/>
                <w:rFonts w:ascii="Cambria Math" w:hAnsi="Cambria Math"/>
              </w:rPr>
              <m:t>c</m:t>
            </m:r>
          </m:e>
          <m:sub>
            <m:r>
              <w:rPr>
                <w:rStyle w:val="Strong"/>
                <w:rFonts w:ascii="Cambria Math" w:hAnsi="Cambria Math"/>
              </w:rPr>
              <m:t>init</m:t>
            </m:r>
          </m:sub>
        </m:sSub>
      </m:oMath>
      <w:r w:rsidRPr="007252A2">
        <w:rPr>
          <w:rStyle w:val="Strong"/>
          <w:b w:val="0"/>
          <w:bCs w:val="0"/>
        </w:rPr>
        <w:t xml:space="preserve"> for DM-RS and CSI-RS. The proposed structure can be expressed as </w:t>
      </w:r>
      <m:oMath>
        <m:sSub>
          <m:sSubPr>
            <m:ctrlPr>
              <w:rPr>
                <w:rFonts w:ascii="Cambria Math" w:hAnsi="Cambria Math"/>
              </w:rPr>
            </m:ctrlPr>
          </m:sSubPr>
          <m:e>
            <m:r>
              <w:rPr>
                <w:rStyle w:val="Strong"/>
                <w:rFonts w:ascii="Cambria Math" w:hAnsi="Cambria Math"/>
              </w:rPr>
              <m:t>c</m:t>
            </m:r>
          </m:e>
          <m:sub>
            <m:r>
              <w:rPr>
                <w:rStyle w:val="Strong"/>
                <w:rFonts w:ascii="Cambria Math" w:hAnsi="Cambria Math"/>
              </w:rPr>
              <m:t>init</m:t>
            </m:r>
          </m:sub>
        </m:sSub>
        <m:r>
          <m:rPr>
            <m:sty m:val="p"/>
          </m:rPr>
          <w:rPr>
            <w:rStyle w:val="Strong"/>
            <w:rFonts w:ascii="Cambria Math" w:hAnsi="Cambria Math"/>
          </w:rPr>
          <m:t>=</m:t>
        </m:r>
        <m:sSup>
          <m:sSupPr>
            <m:ctrlPr>
              <w:rPr>
                <w:rFonts w:ascii="Cambria Math" w:hAnsi="Cambria Math"/>
              </w:rPr>
            </m:ctrlPr>
          </m:sSupPr>
          <m:e>
            <m:r>
              <m:rPr>
                <m:sty m:val="p"/>
              </m:rPr>
              <w:rPr>
                <w:rStyle w:val="Strong"/>
                <w:rFonts w:ascii="Cambria Math" w:hAnsi="Cambria Math"/>
              </w:rPr>
              <m:t>2</m:t>
            </m:r>
          </m:e>
          <m:sup>
            <m:r>
              <w:rPr>
                <w:rStyle w:val="Strong"/>
                <w:rFonts w:ascii="Cambria Math" w:hAnsi="Cambria Math"/>
              </w:rPr>
              <m:t>B</m:t>
            </m:r>
          </m:sup>
        </m:sSup>
        <m:r>
          <m:rPr>
            <m:sty m:val="p"/>
          </m:rPr>
          <w:rPr>
            <w:rStyle w:val="Strong"/>
            <w:rFonts w:ascii="Cambria Math" w:hAnsi="Cambria Math"/>
          </w:rPr>
          <m:t>∙</m:t>
        </m:r>
        <m:r>
          <w:rPr>
            <w:rStyle w:val="Strong"/>
            <w:rFonts w:ascii="Cambria Math" w:hAnsi="Cambria Math"/>
          </w:rPr>
          <m:t>f</m:t>
        </m:r>
        <m:d>
          <m:dPr>
            <m:ctrlPr>
              <w:rPr>
                <w:rFonts w:ascii="Cambria Math" w:hAnsi="Cambria Math"/>
              </w:rPr>
            </m:ctrlPr>
          </m:dPr>
          <m:e>
            <m:sSub>
              <m:sSubPr>
                <m:ctrlPr>
                  <w:rPr>
                    <w:rFonts w:ascii="Cambria Math" w:hAnsi="Cambria Math"/>
                  </w:rPr>
                </m:ctrlPr>
              </m:sSubPr>
              <m:e>
                <m:r>
                  <w:rPr>
                    <w:rStyle w:val="Strong"/>
                    <w:rFonts w:ascii="Cambria Math" w:hAnsi="Cambria Math"/>
                  </w:rPr>
                  <m:t>t</m:t>
                </m:r>
              </m:e>
              <m:sub>
                <m:r>
                  <w:rPr>
                    <w:rStyle w:val="Strong"/>
                    <w:rFonts w:ascii="Cambria Math" w:hAnsi="Cambria Math"/>
                  </w:rPr>
                  <m:t>μ</m:t>
                </m:r>
              </m:sub>
            </m:sSub>
            <m:r>
              <m:rPr>
                <m:sty m:val="p"/>
              </m:rPr>
              <w:rPr>
                <w:rStyle w:val="Strong"/>
                <w:rFonts w:ascii="Cambria Math" w:hAnsi="Cambria Math"/>
              </w:rPr>
              <m:t>,</m:t>
            </m:r>
            <m:sSub>
              <m:sSubPr>
                <m:ctrlPr>
                  <w:rPr>
                    <w:rFonts w:ascii="Cambria Math" w:hAnsi="Cambria Math"/>
                  </w:rPr>
                </m:ctrlPr>
              </m:sSubPr>
              <m:e>
                <m:r>
                  <w:rPr>
                    <w:rStyle w:val="Strong"/>
                    <w:rFonts w:ascii="Cambria Math" w:hAnsi="Cambria Math"/>
                  </w:rPr>
                  <m:t>n</m:t>
                </m:r>
              </m:e>
              <m:sub>
                <m:r>
                  <w:rPr>
                    <w:rStyle w:val="Strong"/>
                    <w:rFonts w:ascii="Cambria Math" w:hAnsi="Cambria Math"/>
                  </w:rPr>
                  <m:t>ID</m:t>
                </m:r>
              </m:sub>
            </m:sSub>
            <m:r>
              <m:rPr>
                <m:sty m:val="p"/>
              </m:rPr>
              <w:rPr>
                <w:rStyle w:val="Strong"/>
                <w:rFonts w:ascii="Cambria Math" w:hAnsi="Cambria Math"/>
              </w:rPr>
              <m:t>,</m:t>
            </m:r>
            <m:sSub>
              <m:sSubPr>
                <m:ctrlPr>
                  <w:rPr>
                    <w:rFonts w:ascii="Cambria Math" w:hAnsi="Cambria Math"/>
                  </w:rPr>
                </m:ctrlPr>
              </m:sSubPr>
              <m:e>
                <m:r>
                  <w:rPr>
                    <w:rStyle w:val="Strong"/>
                    <w:rFonts w:ascii="Cambria Math" w:hAnsi="Cambria Math"/>
                  </w:rPr>
                  <m:t>n</m:t>
                </m:r>
              </m:e>
              <m:sub>
                <m:r>
                  <w:rPr>
                    <w:rStyle w:val="Strong"/>
                    <w:rFonts w:ascii="Cambria Math" w:hAnsi="Cambria Math"/>
                  </w:rPr>
                  <m:t>RStype</m:t>
                </m:r>
              </m:sub>
            </m:sSub>
          </m:e>
        </m:d>
        <m:r>
          <m:rPr>
            <m:sty m:val="p"/>
          </m:rPr>
          <w:rPr>
            <w:rStyle w:val="Strong"/>
            <w:rFonts w:ascii="Cambria Math" w:hAnsi="Cambria Math"/>
          </w:rPr>
          <m:t>+</m:t>
        </m:r>
        <m:sSub>
          <m:sSubPr>
            <m:ctrlPr>
              <w:rPr>
                <w:rFonts w:ascii="Cambria Math" w:hAnsi="Cambria Math"/>
              </w:rPr>
            </m:ctrlPr>
          </m:sSubPr>
          <m:e>
            <m:r>
              <w:rPr>
                <w:rStyle w:val="Strong"/>
                <w:rFonts w:ascii="Cambria Math" w:hAnsi="Cambria Math"/>
              </w:rPr>
              <m:t>n</m:t>
            </m:r>
          </m:e>
          <m:sub>
            <m:r>
              <w:rPr>
                <w:rStyle w:val="Strong"/>
                <w:rFonts w:ascii="Cambria Math" w:hAnsi="Cambria Math"/>
              </w:rPr>
              <m:t>ID</m:t>
            </m:r>
          </m:sub>
        </m:sSub>
      </m:oMath>
      <w:r w:rsidRPr="007252A2">
        <w:rPr>
          <w:rStyle w:val="Strong"/>
          <w:b w:val="0"/>
          <w:bCs w:val="0"/>
        </w:rPr>
        <w:t xml:space="preserve"> where </w:t>
      </w:r>
      <m:oMath>
        <m:sSub>
          <m:sSubPr>
            <m:ctrlPr>
              <w:rPr>
                <w:rFonts w:ascii="Cambria Math" w:hAnsi="Cambria Math"/>
              </w:rPr>
            </m:ctrlPr>
          </m:sSubPr>
          <m:e>
            <m:r>
              <w:rPr>
                <w:rStyle w:val="Strong"/>
                <w:rFonts w:ascii="Cambria Math" w:hAnsi="Cambria Math"/>
              </w:rPr>
              <m:t>t</m:t>
            </m:r>
          </m:e>
          <m:sub>
            <m:r>
              <w:rPr>
                <w:rStyle w:val="Strong"/>
                <w:rFonts w:ascii="Cambria Math" w:hAnsi="Cambria Math"/>
              </w:rPr>
              <m:t>μ</m:t>
            </m:r>
          </m:sub>
        </m:sSub>
      </m:oMath>
      <w:r w:rsidRPr="007252A2">
        <w:rPr>
          <w:rStyle w:val="Strong"/>
          <w:b w:val="0"/>
          <w:bCs w:val="0"/>
        </w:rPr>
        <w:t xml:space="preserve"> is the symbol counter, </w:t>
      </w:r>
      <m:oMath>
        <m:sSub>
          <m:sSubPr>
            <m:ctrlPr>
              <w:rPr>
                <w:rFonts w:ascii="Cambria Math" w:hAnsi="Cambria Math"/>
              </w:rPr>
            </m:ctrlPr>
          </m:sSubPr>
          <m:e>
            <m:r>
              <w:rPr>
                <w:rStyle w:val="Strong"/>
                <w:rFonts w:ascii="Cambria Math" w:hAnsi="Cambria Math"/>
              </w:rPr>
              <m:t>n</m:t>
            </m:r>
          </m:e>
          <m:sub>
            <m:r>
              <w:rPr>
                <w:rStyle w:val="Strong"/>
                <w:rFonts w:ascii="Cambria Math" w:hAnsi="Cambria Math"/>
              </w:rPr>
              <m:t>ID</m:t>
            </m:r>
          </m:sub>
        </m:sSub>
      </m:oMath>
      <w:r w:rsidRPr="007252A2">
        <w:rPr>
          <w:rStyle w:val="Strong"/>
          <w:b w:val="0"/>
          <w:bCs w:val="0"/>
        </w:rPr>
        <w:t xml:space="preserve"> is the scrambling ID, </w:t>
      </w:r>
      <m:oMath>
        <m:r>
          <w:rPr>
            <w:rStyle w:val="Strong"/>
            <w:rFonts w:ascii="Cambria Math" w:hAnsi="Cambria Math"/>
          </w:rPr>
          <m:t>B</m:t>
        </m:r>
      </m:oMath>
      <w:r w:rsidRPr="007252A2">
        <w:rPr>
          <w:rStyle w:val="Strong"/>
          <w:b w:val="0"/>
          <w:bCs w:val="0"/>
        </w:rPr>
        <w:t xml:space="preserve"> is the bit width of the scrambling ID and </w:t>
      </w:r>
      <m:oMath>
        <m:sSub>
          <m:sSubPr>
            <m:ctrlPr>
              <w:rPr>
                <w:rFonts w:ascii="Cambria Math" w:hAnsi="Cambria Math"/>
              </w:rPr>
            </m:ctrlPr>
          </m:sSubPr>
          <m:e>
            <m:r>
              <w:rPr>
                <w:rStyle w:val="Strong"/>
                <w:rFonts w:ascii="Cambria Math" w:hAnsi="Cambria Math"/>
              </w:rPr>
              <m:t>n</m:t>
            </m:r>
          </m:e>
          <m:sub>
            <m:r>
              <w:rPr>
                <w:rStyle w:val="Strong"/>
                <w:rFonts w:ascii="Cambria Math" w:hAnsi="Cambria Math"/>
              </w:rPr>
              <m:t>RStype</m:t>
            </m:r>
          </m:sub>
        </m:sSub>
      </m:oMath>
      <w:r w:rsidRPr="007252A2">
        <w:rPr>
          <w:rStyle w:val="Strong"/>
          <w:b w:val="0"/>
          <w:bCs w:val="0"/>
        </w:rPr>
        <w:t xml:space="preserve"> is an RS type identifier which for DM-RS is set to zero. The function </w:t>
      </w:r>
      <m:oMath>
        <m:r>
          <w:rPr>
            <w:rStyle w:val="Strong"/>
            <w:rFonts w:ascii="Cambria Math" w:hAnsi="Cambria Math"/>
          </w:rPr>
          <m:t>f</m:t>
        </m:r>
        <m:d>
          <m:dPr>
            <m:ctrlPr>
              <w:rPr>
                <w:rFonts w:ascii="Cambria Math" w:hAnsi="Cambria Math"/>
              </w:rPr>
            </m:ctrlPr>
          </m:dPr>
          <m:e>
            <m:r>
              <m:rPr>
                <m:sty m:val="p"/>
              </m:rPr>
              <w:rPr>
                <w:rStyle w:val="Strong"/>
                <w:rFonts w:ascii="Cambria Math" w:hAnsi="Cambria Math"/>
              </w:rPr>
              <m:t>⋯</m:t>
            </m:r>
          </m:e>
        </m:d>
      </m:oMath>
      <w:r w:rsidRPr="007252A2">
        <w:rPr>
          <w:rStyle w:val="Strong"/>
          <w:b w:val="0"/>
          <w:bCs w:val="0"/>
        </w:rPr>
        <w:t xml:space="preserve"> is constructed such that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Style w:val="Strong"/>
                        <w:rFonts w:ascii="Cambria Math" w:hAnsi="Cambria Math"/>
                      </w:rPr>
                      <m:t>log</m:t>
                    </m:r>
                  </m:e>
                  <m:sub>
                    <m:r>
                      <m:rPr>
                        <m:sty m:val="p"/>
                      </m:rPr>
                      <w:rPr>
                        <w:rStyle w:val="Strong"/>
                        <w:rFonts w:ascii="Cambria Math" w:hAnsi="Cambria Math"/>
                      </w:rPr>
                      <m:t>2</m:t>
                    </m:r>
                  </m:sub>
                </m:sSub>
              </m:fName>
              <m:e>
                <m:r>
                  <m:rPr>
                    <m:nor/>
                  </m:rPr>
                  <w:rPr>
                    <w:rStyle w:val="Strong"/>
                    <w:b w:val="0"/>
                    <w:bCs w:val="0"/>
                  </w:rPr>
                  <m:t>max</m:t>
                </m:r>
                <m:d>
                  <m:dPr>
                    <m:ctrlPr>
                      <w:rPr>
                        <w:rFonts w:ascii="Cambria Math" w:hAnsi="Cambria Math"/>
                      </w:rPr>
                    </m:ctrlPr>
                  </m:dPr>
                  <m:e>
                    <m:sSub>
                      <m:sSubPr>
                        <m:ctrlPr>
                          <w:rPr>
                            <w:rFonts w:ascii="Cambria Math" w:hAnsi="Cambria Math"/>
                          </w:rPr>
                        </m:ctrlPr>
                      </m:sSubPr>
                      <m:e>
                        <m:r>
                          <w:rPr>
                            <w:rStyle w:val="Strong"/>
                            <w:rFonts w:ascii="Cambria Math" w:hAnsi="Cambria Math"/>
                          </w:rPr>
                          <m:t>c</m:t>
                        </m:r>
                      </m:e>
                      <m:sub>
                        <m:r>
                          <w:rPr>
                            <w:rStyle w:val="Strong"/>
                            <w:rFonts w:ascii="Cambria Math" w:hAnsi="Cambria Math"/>
                          </w:rPr>
                          <m:t>init</m:t>
                        </m:r>
                      </m:sub>
                    </m:sSub>
                  </m:e>
                </m:d>
              </m:e>
            </m:func>
          </m:e>
        </m:d>
        <m:r>
          <m:rPr>
            <m:sty m:val="p"/>
          </m:rPr>
          <w:rPr>
            <w:rStyle w:val="Strong"/>
            <w:rFonts w:ascii="Cambria Math" w:hAnsi="Cambria Math"/>
          </w:rPr>
          <m:t>=31</m:t>
        </m:r>
      </m:oMath>
      <w:r w:rsidRPr="007252A2">
        <w:rPr>
          <w:rStyle w:val="Strong"/>
          <w:b w:val="0"/>
          <w:bCs w:val="0"/>
        </w:rPr>
        <w:t xml:space="preserve"> and such that </w:t>
      </w:r>
      <m:oMath>
        <m:sSub>
          <m:sSubPr>
            <m:ctrlPr>
              <w:rPr>
                <w:rFonts w:ascii="Cambria Math" w:hAnsi="Cambria Math"/>
              </w:rPr>
            </m:ctrlPr>
          </m:sSubPr>
          <m:e>
            <m:r>
              <w:rPr>
                <w:rStyle w:val="Strong"/>
                <w:rFonts w:ascii="Cambria Math" w:hAnsi="Cambria Math"/>
              </w:rPr>
              <m:t>t</m:t>
            </m:r>
          </m:e>
          <m:sub>
            <m:r>
              <w:rPr>
                <w:rStyle w:val="Strong"/>
                <w:rFonts w:ascii="Cambria Math" w:hAnsi="Cambria Math"/>
              </w:rPr>
              <m:t>μ</m:t>
            </m:r>
          </m:sub>
        </m:sSub>
      </m:oMath>
      <w:r w:rsidRPr="007252A2">
        <w:rPr>
          <w:rStyle w:val="Strong"/>
          <w:b w:val="0"/>
          <w:bCs w:val="0"/>
        </w:rPr>
        <w:t xml:space="preserve"> and </w:t>
      </w:r>
      <m:oMath>
        <m:sSub>
          <m:sSubPr>
            <m:ctrlPr>
              <w:rPr>
                <w:rFonts w:ascii="Cambria Math" w:hAnsi="Cambria Math"/>
              </w:rPr>
            </m:ctrlPr>
          </m:sSubPr>
          <m:e>
            <m:r>
              <w:rPr>
                <w:rStyle w:val="Strong"/>
                <w:rFonts w:ascii="Cambria Math" w:hAnsi="Cambria Math"/>
              </w:rPr>
              <m:t>n</m:t>
            </m:r>
          </m:e>
          <m:sub>
            <m:r>
              <w:rPr>
                <w:rStyle w:val="Strong"/>
                <w:rFonts w:ascii="Cambria Math" w:hAnsi="Cambria Math"/>
              </w:rPr>
              <m:t>ID</m:t>
            </m:r>
          </m:sub>
        </m:sSub>
      </m:oMath>
      <w:r w:rsidRPr="007252A2">
        <w:rPr>
          <w:rStyle w:val="Strong"/>
          <w:b w:val="0"/>
          <w:bCs w:val="0"/>
        </w:rPr>
        <w:t xml:space="preserve"> are not combined linearly in a modulo-2 meaning </w:t>
      </w:r>
      <w:r w:rsidR="00E038C8">
        <w:rPr>
          <w:rStyle w:val="Strong"/>
          <w:b w:val="0"/>
          <w:bCs w:val="0"/>
        </w:rPr>
        <w:fldChar w:fldCharType="begin"/>
      </w:r>
      <w:r w:rsidR="00E038C8">
        <w:rPr>
          <w:rStyle w:val="Strong"/>
          <w:b w:val="0"/>
          <w:bCs w:val="0"/>
        </w:rPr>
        <w:instrText xml:space="preserve"> REF _Ref498627810 \r \h </w:instrText>
      </w:r>
      <w:r w:rsidR="00E038C8">
        <w:rPr>
          <w:rStyle w:val="Strong"/>
          <w:b w:val="0"/>
          <w:bCs w:val="0"/>
        </w:rPr>
      </w:r>
      <w:r w:rsidR="00E038C8">
        <w:rPr>
          <w:rStyle w:val="Strong"/>
          <w:b w:val="0"/>
          <w:bCs w:val="0"/>
        </w:rPr>
        <w:fldChar w:fldCharType="separate"/>
      </w:r>
      <w:r w:rsidR="00037459">
        <w:rPr>
          <w:rStyle w:val="Strong"/>
          <w:b w:val="0"/>
          <w:bCs w:val="0"/>
        </w:rPr>
        <w:t>[2]</w:t>
      </w:r>
      <w:r w:rsidR="00E038C8">
        <w:rPr>
          <w:rStyle w:val="Strong"/>
          <w:b w:val="0"/>
          <w:bCs w:val="0"/>
        </w:rPr>
        <w:fldChar w:fldCharType="end"/>
      </w:r>
      <w:r w:rsidR="00E038C8">
        <w:rPr>
          <w:rStyle w:val="Strong"/>
          <w:b w:val="0"/>
          <w:bCs w:val="0"/>
        </w:rPr>
        <w:t xml:space="preserve">. </w:t>
      </w:r>
      <w:r w:rsidRPr="007252A2">
        <w:rPr>
          <w:rStyle w:val="Strong"/>
          <w:b w:val="0"/>
          <w:bCs w:val="0"/>
        </w:rPr>
        <w:t xml:space="preserve">As also discussed in </w:t>
      </w:r>
      <w:r w:rsidR="00E038C8">
        <w:rPr>
          <w:rStyle w:val="Strong"/>
          <w:b w:val="0"/>
          <w:bCs w:val="0"/>
        </w:rPr>
        <w:fldChar w:fldCharType="begin"/>
      </w:r>
      <w:r w:rsidR="00E038C8">
        <w:rPr>
          <w:rStyle w:val="Strong"/>
          <w:b w:val="0"/>
          <w:bCs w:val="0"/>
        </w:rPr>
        <w:instrText xml:space="preserve"> REF _Ref498627810 \r \h </w:instrText>
      </w:r>
      <w:r w:rsidR="00E038C8">
        <w:rPr>
          <w:rStyle w:val="Strong"/>
          <w:b w:val="0"/>
          <w:bCs w:val="0"/>
        </w:rPr>
      </w:r>
      <w:r w:rsidR="00E038C8">
        <w:rPr>
          <w:rStyle w:val="Strong"/>
          <w:b w:val="0"/>
          <w:bCs w:val="0"/>
        </w:rPr>
        <w:fldChar w:fldCharType="separate"/>
      </w:r>
      <w:r w:rsidR="00037459">
        <w:rPr>
          <w:rStyle w:val="Strong"/>
          <w:b w:val="0"/>
          <w:bCs w:val="0"/>
        </w:rPr>
        <w:t>[2]</w:t>
      </w:r>
      <w:r w:rsidR="00E038C8">
        <w:rPr>
          <w:rStyle w:val="Strong"/>
          <w:b w:val="0"/>
          <w:bCs w:val="0"/>
        </w:rPr>
        <w:fldChar w:fldCharType="end"/>
      </w:r>
      <w:r w:rsidR="00E038C8">
        <w:rPr>
          <w:rStyle w:val="Strong"/>
          <w:b w:val="0"/>
          <w:bCs w:val="0"/>
        </w:rPr>
        <w:t>,</w:t>
      </w:r>
      <w:r w:rsidRPr="007252A2">
        <w:rPr>
          <w:rStyle w:val="Strong"/>
          <w:b w:val="0"/>
          <w:bCs w:val="0"/>
        </w:rPr>
        <w:t>the number of configurable scrambling IDs should be larger than the 1008 physical cell IDs to support high scheduling flexibility in excessive MU-MIMO operations when using pseudo-orthogonal reference signals. We propose the following:</w:t>
      </w:r>
    </w:p>
    <w:p w14:paraId="7299629C" w14:textId="77777777" w:rsidR="008863CD" w:rsidRPr="007252A2" w:rsidRDefault="008863CD" w:rsidP="008863CD">
      <w:pPr>
        <w:pStyle w:val="Proposal"/>
        <w:rPr>
          <w:rStyle w:val="Strong"/>
          <w:b/>
          <w:szCs w:val="24"/>
        </w:rPr>
      </w:pPr>
      <w:bookmarkStart w:id="113" w:name="_Toc498716641"/>
      <w:r w:rsidRPr="007252A2">
        <w:rPr>
          <w:rStyle w:val="Strong"/>
          <w:b/>
          <w:szCs w:val="24"/>
        </w:rPr>
        <w:t>Initialization of the length-31 Gold sequence generator is for DM-RS defined by</w:t>
      </w:r>
      <w:bookmarkEnd w:id="113"/>
    </w:p>
    <w:p w14:paraId="0168EE37" w14:textId="77777777" w:rsidR="008863CD" w:rsidRPr="007252A2" w:rsidRDefault="008863CD" w:rsidP="008863CD">
      <w:pPr>
        <w:pStyle w:val="Proposal"/>
        <w:numPr>
          <w:ilvl w:val="0"/>
          <w:numId w:val="0"/>
        </w:numPr>
        <w:ind w:left="1701"/>
      </w:pPr>
      <w:r w:rsidRPr="007252A2">
        <w:rPr>
          <w:rStyle w:val="Strong"/>
          <w:b/>
          <w:szCs w:val="24"/>
        </w:rPr>
        <w:tab/>
      </w:r>
      <w:r w:rsidRPr="007252A2">
        <w:rPr>
          <w:rStyle w:val="Strong"/>
          <w:b/>
          <w:szCs w:val="24"/>
        </w:rPr>
        <w:tab/>
      </w:r>
      <w:r w:rsidRPr="007252A2">
        <w:rPr>
          <w:rStyle w:val="Strong"/>
          <w:b/>
          <w:szCs w:val="24"/>
        </w:rPr>
        <w:tab/>
      </w:r>
      <w:r w:rsidRPr="007252A2">
        <w:rPr>
          <w:rStyle w:val="Strong"/>
          <w:b/>
          <w:szCs w:val="24"/>
        </w:rPr>
        <w:tab/>
        <w:t xml:space="preserve"> </w:t>
      </w:r>
      <w:bookmarkStart w:id="114" w:name="_Toc498716642"/>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15</m:t>
            </m:r>
          </m:sup>
        </m:sSup>
        <m:r>
          <m:rPr>
            <m:sty m:val="bi"/>
          </m:rPr>
          <w:rPr>
            <w:rFonts w:ascii="Cambria Math" w:hAnsi="Cambria Math"/>
          </w:rPr>
          <m:t>∙</m:t>
        </m:r>
        <m:d>
          <m:dPr>
            <m:ctrlPr>
              <w:rPr>
                <w:rFonts w:ascii="Cambria Math" w:hAnsi="Cambria Math"/>
                <w:i/>
              </w:rPr>
            </m:ctrlPr>
          </m:dPr>
          <m:e>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μ</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μ</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ID</m:t>
                </m:r>
              </m:sub>
            </m:sSub>
          </m:e>
        </m:d>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ID</m:t>
            </m:r>
          </m:sub>
        </m:sSub>
      </m:oMath>
      <w:r w:rsidRPr="007252A2">
        <w:rPr>
          <w:bCs w:val="0"/>
        </w:rPr>
        <w:t>,</w:t>
      </w:r>
      <w:bookmarkEnd w:id="114"/>
      <w:r w:rsidRPr="007252A2">
        <w:rPr>
          <w:bCs w:val="0"/>
        </w:rPr>
        <w:t xml:space="preserve"> </w:t>
      </w:r>
    </w:p>
    <w:p w14:paraId="1ABAF613" w14:textId="60727BB0" w:rsidR="008863CD" w:rsidRDefault="008863CD" w:rsidP="008863CD">
      <w:pPr>
        <w:pStyle w:val="Caption"/>
        <w:jc w:val="left"/>
        <w:rPr>
          <w:bCs w:val="0"/>
        </w:rPr>
      </w:pPr>
      <w:r w:rsidRPr="007252A2">
        <w:rPr>
          <w:bCs w:val="0"/>
        </w:rPr>
        <w:t>where</w:t>
      </w:r>
      <w:r w:rsidRPr="007252A2">
        <w:rPr>
          <w:bCs w:val="0"/>
          <w:szCs w:val="24"/>
        </w:rPr>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μ</m:t>
            </m:r>
          </m:sub>
        </m:sSub>
      </m:oMath>
      <w:r w:rsidRPr="007252A2">
        <w:rPr>
          <w:bCs w:val="0"/>
        </w:rPr>
        <w:t xml:space="preserve"> is a symbol counter,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μ</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m:t>
            </m:r>
          </m:sub>
          <m:sup>
            <m:r>
              <m:rPr>
                <m:sty m:val="bi"/>
              </m:rPr>
              <w:rPr>
                <w:rFonts w:ascii="Cambria Math" w:hAnsi="Cambria Math"/>
              </w:rPr>
              <m:t>μ</m:t>
            </m:r>
          </m:sup>
        </m:sSubSup>
        <m:r>
          <m:rPr>
            <m:sty m:val="bi"/>
          </m:rPr>
          <w:rPr>
            <w:rFonts w:ascii="Cambria Math" w:hAnsi="Cambria Math"/>
          </w:rPr>
          <m:t>+l+1</m:t>
        </m:r>
      </m:oMath>
      <w:r w:rsidRPr="007252A2">
        <w:t>,</w:t>
      </w:r>
      <w:r w:rsidRPr="007252A2">
        <w:rPr>
          <w:bCs w:val="0"/>
          <w:szCs w:val="24"/>
        </w:rPr>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ID</m:t>
            </m:r>
          </m:sub>
        </m:sSub>
      </m:oMath>
      <w:r w:rsidRPr="007252A2">
        <w:rPr>
          <w:bCs w:val="0"/>
        </w:rPr>
        <w:t xml:space="preserve"> is a 15-bit scrambling ID and </w:t>
      </w:r>
      <m:oMath>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μ</m:t>
            </m:r>
          </m:sub>
        </m:sSub>
      </m:oMath>
      <w:r w:rsidRPr="007252A2">
        <w:t xml:space="preserve"> is a subcarrier spacing dependent scaling factor defined in </w:t>
      </w:r>
      <w:r w:rsidRPr="007252A2">
        <w:fldChar w:fldCharType="begin"/>
      </w:r>
      <w:r w:rsidRPr="007252A2">
        <w:instrText xml:space="preserve"> REF _Ref498592842 \h </w:instrText>
      </w:r>
      <w:r>
        <w:instrText xml:space="preserve"> \* MERGEFORMAT </w:instrText>
      </w:r>
      <w:r w:rsidRPr="007252A2">
        <w:fldChar w:fldCharType="separate"/>
      </w:r>
      <w:r w:rsidR="00037459">
        <w:t xml:space="preserve">Table </w:t>
      </w:r>
      <w:r w:rsidR="00037459">
        <w:rPr>
          <w:noProof/>
        </w:rPr>
        <w:t>3</w:t>
      </w:r>
      <w:r w:rsidRPr="007252A2">
        <w:fldChar w:fldCharType="end"/>
      </w:r>
      <w:r>
        <w:t>.</w:t>
      </w:r>
      <w:r w:rsidRPr="008863CD">
        <w:rPr>
          <w:bCs w:val="0"/>
        </w:rPr>
        <w:t xml:space="preserve"> </w:t>
      </w:r>
      <w:r>
        <w:rPr>
          <w:bCs w:val="0"/>
        </w:rPr>
        <w:tab/>
      </w:r>
    </w:p>
    <w:p w14:paraId="47C9C2A3" w14:textId="6C27407A" w:rsidR="007252A2" w:rsidRDefault="007252A2" w:rsidP="007252A2">
      <w:pPr>
        <w:pStyle w:val="Caption"/>
      </w:pPr>
      <w:r>
        <w:rPr>
          <w:bCs w:val="0"/>
        </w:rPr>
        <w:tab/>
      </w:r>
      <w:r>
        <w:rPr>
          <w:bCs w:val="0"/>
        </w:rPr>
        <w:tab/>
      </w:r>
      <w:bookmarkStart w:id="115" w:name="_Ref498592842"/>
      <w:r>
        <w:t xml:space="preserve">Table </w:t>
      </w:r>
      <w:r>
        <w:fldChar w:fldCharType="begin"/>
      </w:r>
      <w:r>
        <w:instrText xml:space="preserve"> SEQ Table \* ARABIC </w:instrText>
      </w:r>
      <w:r>
        <w:fldChar w:fldCharType="separate"/>
      </w:r>
      <w:r w:rsidR="00037459">
        <w:rPr>
          <w:noProof/>
        </w:rPr>
        <w:t>3</w:t>
      </w:r>
      <w:r>
        <w:fldChar w:fldCharType="end"/>
      </w:r>
      <w:bookmarkEnd w:id="115"/>
      <w:r>
        <w:t xml:space="preserve">. Scaling factor </w:t>
      </w:r>
      <m:oMath>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μ</m:t>
            </m:r>
          </m:sub>
        </m:sSub>
      </m:oMath>
      <w:r>
        <w:t xml:space="preserve"> for </w:t>
      </w:r>
      <m:oMath>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∙15</m:t>
        </m:r>
      </m:oMath>
      <w:r>
        <w:t xml:space="preserve"> kHz subcarrier spacing</w:t>
      </w:r>
    </w:p>
    <w:tbl>
      <w:tblPr>
        <w:tblStyle w:val="TableGrid"/>
        <w:tblW w:w="9527" w:type="dxa"/>
        <w:tblLook w:val="04A0" w:firstRow="1" w:lastRow="0" w:firstColumn="1" w:lastColumn="0" w:noHBand="0" w:noVBand="1"/>
      </w:tblPr>
      <w:tblGrid>
        <w:gridCol w:w="1361"/>
        <w:gridCol w:w="1361"/>
        <w:gridCol w:w="1361"/>
        <w:gridCol w:w="1361"/>
        <w:gridCol w:w="1361"/>
        <w:gridCol w:w="1361"/>
        <w:gridCol w:w="1361"/>
      </w:tblGrid>
      <w:tr w:rsidR="007252A2" w14:paraId="54C02949" w14:textId="77777777" w:rsidTr="007252A2">
        <w:tc>
          <w:tcPr>
            <w:tcW w:w="1361" w:type="dxa"/>
            <w:tcBorders>
              <w:top w:val="single" w:sz="4" w:space="0" w:color="auto"/>
              <w:left w:val="single" w:sz="4" w:space="0" w:color="auto"/>
              <w:bottom w:val="single" w:sz="4" w:space="0" w:color="auto"/>
              <w:right w:val="single" w:sz="4" w:space="0" w:color="auto"/>
            </w:tcBorders>
            <w:hideMark/>
          </w:tcPr>
          <w:p w14:paraId="223CB392" w14:textId="77777777" w:rsidR="007252A2" w:rsidRDefault="007252A2">
            <w:pPr>
              <w:pStyle w:val="Proposal"/>
              <w:numPr>
                <w:ilvl w:val="0"/>
                <w:numId w:val="0"/>
              </w:numPr>
              <w:spacing w:line="256" w:lineRule="auto"/>
              <w:rPr>
                <w:bCs w:val="0"/>
              </w:rPr>
            </w:pPr>
            <w:bookmarkStart w:id="116" w:name="_Toc498716643"/>
            <m:oMathPara>
              <m:oMath>
                <m:r>
                  <m:rPr>
                    <m:sty m:val="bi"/>
                  </m:rPr>
                  <w:rPr>
                    <w:rFonts w:ascii="Cambria Math" w:hAnsi="Cambria Math"/>
                  </w:rPr>
                  <m:t>μ</m:t>
                </m:r>
              </m:oMath>
            </m:oMathPara>
            <w:bookmarkEnd w:id="116"/>
          </w:p>
        </w:tc>
        <w:tc>
          <w:tcPr>
            <w:tcW w:w="1361" w:type="dxa"/>
            <w:tcBorders>
              <w:top w:val="single" w:sz="4" w:space="0" w:color="auto"/>
              <w:left w:val="single" w:sz="4" w:space="0" w:color="auto"/>
              <w:bottom w:val="single" w:sz="4" w:space="0" w:color="auto"/>
              <w:right w:val="single" w:sz="4" w:space="0" w:color="auto"/>
            </w:tcBorders>
            <w:hideMark/>
          </w:tcPr>
          <w:p w14:paraId="0DC19F0A" w14:textId="77777777" w:rsidR="007252A2" w:rsidRDefault="007252A2">
            <w:pPr>
              <w:pStyle w:val="Proposal"/>
              <w:numPr>
                <w:ilvl w:val="0"/>
                <w:numId w:val="0"/>
              </w:numPr>
              <w:rPr>
                <w:bCs w:val="0"/>
              </w:rPr>
            </w:pPr>
            <w:bookmarkStart w:id="117" w:name="_Toc498716644"/>
            <w:r>
              <w:t>0</w:t>
            </w:r>
            <w:bookmarkEnd w:id="117"/>
          </w:p>
        </w:tc>
        <w:tc>
          <w:tcPr>
            <w:tcW w:w="1361" w:type="dxa"/>
            <w:tcBorders>
              <w:top w:val="single" w:sz="4" w:space="0" w:color="auto"/>
              <w:left w:val="single" w:sz="4" w:space="0" w:color="auto"/>
              <w:bottom w:val="single" w:sz="4" w:space="0" w:color="auto"/>
              <w:right w:val="single" w:sz="4" w:space="0" w:color="auto"/>
            </w:tcBorders>
            <w:hideMark/>
          </w:tcPr>
          <w:p w14:paraId="57FF028C" w14:textId="77777777" w:rsidR="007252A2" w:rsidRDefault="007252A2">
            <w:pPr>
              <w:pStyle w:val="Proposal"/>
              <w:numPr>
                <w:ilvl w:val="0"/>
                <w:numId w:val="0"/>
              </w:numPr>
              <w:rPr>
                <w:bCs w:val="0"/>
              </w:rPr>
            </w:pPr>
            <w:bookmarkStart w:id="118" w:name="_Toc498716645"/>
            <w:r>
              <w:t>1</w:t>
            </w:r>
            <w:bookmarkEnd w:id="118"/>
          </w:p>
        </w:tc>
        <w:tc>
          <w:tcPr>
            <w:tcW w:w="1361" w:type="dxa"/>
            <w:tcBorders>
              <w:top w:val="single" w:sz="4" w:space="0" w:color="auto"/>
              <w:left w:val="single" w:sz="4" w:space="0" w:color="auto"/>
              <w:bottom w:val="single" w:sz="4" w:space="0" w:color="auto"/>
              <w:right w:val="single" w:sz="4" w:space="0" w:color="auto"/>
            </w:tcBorders>
            <w:hideMark/>
          </w:tcPr>
          <w:p w14:paraId="6D118C60" w14:textId="77777777" w:rsidR="007252A2" w:rsidRDefault="007252A2">
            <w:pPr>
              <w:pStyle w:val="Proposal"/>
              <w:numPr>
                <w:ilvl w:val="0"/>
                <w:numId w:val="0"/>
              </w:numPr>
              <w:rPr>
                <w:bCs w:val="0"/>
              </w:rPr>
            </w:pPr>
            <w:bookmarkStart w:id="119" w:name="_Toc498716646"/>
            <w:r>
              <w:t>2</w:t>
            </w:r>
            <w:bookmarkEnd w:id="119"/>
          </w:p>
        </w:tc>
        <w:tc>
          <w:tcPr>
            <w:tcW w:w="1361" w:type="dxa"/>
            <w:tcBorders>
              <w:top w:val="single" w:sz="4" w:space="0" w:color="auto"/>
              <w:left w:val="single" w:sz="4" w:space="0" w:color="auto"/>
              <w:bottom w:val="single" w:sz="4" w:space="0" w:color="auto"/>
              <w:right w:val="single" w:sz="4" w:space="0" w:color="auto"/>
            </w:tcBorders>
            <w:hideMark/>
          </w:tcPr>
          <w:p w14:paraId="55431EB5" w14:textId="77777777" w:rsidR="007252A2" w:rsidRDefault="007252A2">
            <w:pPr>
              <w:pStyle w:val="Proposal"/>
              <w:numPr>
                <w:ilvl w:val="0"/>
                <w:numId w:val="0"/>
              </w:numPr>
              <w:rPr>
                <w:bCs w:val="0"/>
              </w:rPr>
            </w:pPr>
            <w:bookmarkStart w:id="120" w:name="_Toc498716647"/>
            <w:r>
              <w:t>3</w:t>
            </w:r>
            <w:bookmarkEnd w:id="120"/>
          </w:p>
        </w:tc>
        <w:tc>
          <w:tcPr>
            <w:tcW w:w="1361" w:type="dxa"/>
            <w:tcBorders>
              <w:top w:val="single" w:sz="4" w:space="0" w:color="auto"/>
              <w:left w:val="single" w:sz="4" w:space="0" w:color="auto"/>
              <w:bottom w:val="single" w:sz="4" w:space="0" w:color="auto"/>
              <w:right w:val="single" w:sz="4" w:space="0" w:color="auto"/>
            </w:tcBorders>
            <w:hideMark/>
          </w:tcPr>
          <w:p w14:paraId="0AFDEBE2" w14:textId="77777777" w:rsidR="007252A2" w:rsidRDefault="007252A2">
            <w:pPr>
              <w:pStyle w:val="Proposal"/>
              <w:numPr>
                <w:ilvl w:val="0"/>
                <w:numId w:val="0"/>
              </w:numPr>
              <w:rPr>
                <w:bCs w:val="0"/>
              </w:rPr>
            </w:pPr>
            <w:bookmarkStart w:id="121" w:name="_Toc498716648"/>
            <w:r>
              <w:t>4</w:t>
            </w:r>
            <w:bookmarkEnd w:id="121"/>
          </w:p>
        </w:tc>
        <w:tc>
          <w:tcPr>
            <w:tcW w:w="1361" w:type="dxa"/>
            <w:tcBorders>
              <w:top w:val="single" w:sz="4" w:space="0" w:color="auto"/>
              <w:left w:val="single" w:sz="4" w:space="0" w:color="auto"/>
              <w:bottom w:val="single" w:sz="4" w:space="0" w:color="auto"/>
              <w:right w:val="single" w:sz="4" w:space="0" w:color="auto"/>
            </w:tcBorders>
            <w:hideMark/>
          </w:tcPr>
          <w:p w14:paraId="4A4F06AE" w14:textId="77777777" w:rsidR="007252A2" w:rsidRDefault="007252A2">
            <w:pPr>
              <w:pStyle w:val="Proposal"/>
              <w:numPr>
                <w:ilvl w:val="0"/>
                <w:numId w:val="0"/>
              </w:numPr>
              <w:rPr>
                <w:bCs w:val="0"/>
              </w:rPr>
            </w:pPr>
            <w:bookmarkStart w:id="122" w:name="_Toc498716649"/>
            <w:r>
              <w:t>5</w:t>
            </w:r>
            <w:bookmarkEnd w:id="122"/>
          </w:p>
        </w:tc>
      </w:tr>
      <w:bookmarkStart w:id="123" w:name="_Toc498716650"/>
      <w:tr w:rsidR="007252A2" w14:paraId="3379B7AB" w14:textId="77777777" w:rsidTr="007252A2">
        <w:tc>
          <w:tcPr>
            <w:tcW w:w="1361" w:type="dxa"/>
            <w:tcBorders>
              <w:top w:val="single" w:sz="4" w:space="0" w:color="auto"/>
              <w:left w:val="single" w:sz="4" w:space="0" w:color="auto"/>
              <w:bottom w:val="single" w:sz="4" w:space="0" w:color="auto"/>
              <w:right w:val="single" w:sz="4" w:space="0" w:color="auto"/>
            </w:tcBorders>
            <w:hideMark/>
          </w:tcPr>
          <w:p w14:paraId="6AFCBAD2" w14:textId="77777777" w:rsidR="007252A2" w:rsidRDefault="005E6FAC">
            <w:pPr>
              <w:pStyle w:val="Proposal"/>
              <w:numPr>
                <w:ilvl w:val="0"/>
                <w:numId w:val="0"/>
              </w:numPr>
              <w:spacing w:line="256" w:lineRule="auto"/>
              <w:rPr>
                <w:bCs w:val="0"/>
              </w:rPr>
            </w:pPr>
            <m:oMathPara>
              <m:oMath>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μ</m:t>
                    </m:r>
                  </m:sub>
                </m:sSub>
              </m:oMath>
            </m:oMathPara>
            <w:bookmarkEnd w:id="123"/>
          </w:p>
        </w:tc>
        <w:tc>
          <w:tcPr>
            <w:tcW w:w="1361" w:type="dxa"/>
            <w:tcBorders>
              <w:top w:val="single" w:sz="4" w:space="0" w:color="auto"/>
              <w:left w:val="single" w:sz="4" w:space="0" w:color="auto"/>
              <w:bottom w:val="single" w:sz="4" w:space="0" w:color="auto"/>
              <w:right w:val="single" w:sz="4" w:space="0" w:color="auto"/>
            </w:tcBorders>
            <w:hideMark/>
          </w:tcPr>
          <w:p w14:paraId="7C97FA4E" w14:textId="77777777" w:rsidR="007252A2" w:rsidRDefault="007252A2">
            <w:pPr>
              <w:pStyle w:val="Proposal"/>
              <w:numPr>
                <w:ilvl w:val="0"/>
                <w:numId w:val="0"/>
              </w:numPr>
              <w:rPr>
                <w:bCs w:val="0"/>
              </w:rPr>
            </w:pPr>
            <w:bookmarkStart w:id="124" w:name="_Toc498716651"/>
            <w:r>
              <w:t>233</w:t>
            </w:r>
            <w:bookmarkEnd w:id="124"/>
          </w:p>
        </w:tc>
        <w:tc>
          <w:tcPr>
            <w:tcW w:w="1361" w:type="dxa"/>
            <w:tcBorders>
              <w:top w:val="single" w:sz="4" w:space="0" w:color="auto"/>
              <w:left w:val="single" w:sz="4" w:space="0" w:color="auto"/>
              <w:bottom w:val="single" w:sz="4" w:space="0" w:color="auto"/>
              <w:right w:val="single" w:sz="4" w:space="0" w:color="auto"/>
            </w:tcBorders>
            <w:hideMark/>
          </w:tcPr>
          <w:p w14:paraId="6D6A7174" w14:textId="77777777" w:rsidR="007252A2" w:rsidRDefault="007252A2">
            <w:pPr>
              <w:pStyle w:val="Proposal"/>
              <w:numPr>
                <w:ilvl w:val="0"/>
                <w:numId w:val="0"/>
              </w:numPr>
              <w:rPr>
                <w:bCs w:val="0"/>
              </w:rPr>
            </w:pPr>
            <w:bookmarkStart w:id="125" w:name="_Toc498716652"/>
            <w:r>
              <w:t>113</w:t>
            </w:r>
            <w:bookmarkEnd w:id="125"/>
          </w:p>
        </w:tc>
        <w:tc>
          <w:tcPr>
            <w:tcW w:w="1361" w:type="dxa"/>
            <w:tcBorders>
              <w:top w:val="single" w:sz="4" w:space="0" w:color="auto"/>
              <w:left w:val="single" w:sz="4" w:space="0" w:color="auto"/>
              <w:bottom w:val="single" w:sz="4" w:space="0" w:color="auto"/>
              <w:right w:val="single" w:sz="4" w:space="0" w:color="auto"/>
            </w:tcBorders>
            <w:hideMark/>
          </w:tcPr>
          <w:p w14:paraId="278F575E" w14:textId="77777777" w:rsidR="007252A2" w:rsidRDefault="007252A2">
            <w:pPr>
              <w:pStyle w:val="Proposal"/>
              <w:numPr>
                <w:ilvl w:val="0"/>
                <w:numId w:val="0"/>
              </w:numPr>
              <w:rPr>
                <w:bCs w:val="0"/>
              </w:rPr>
            </w:pPr>
            <w:bookmarkStart w:id="126" w:name="_Toc498716653"/>
            <w:r>
              <w:t>57</w:t>
            </w:r>
            <w:bookmarkEnd w:id="126"/>
          </w:p>
        </w:tc>
        <w:tc>
          <w:tcPr>
            <w:tcW w:w="1361" w:type="dxa"/>
            <w:tcBorders>
              <w:top w:val="single" w:sz="4" w:space="0" w:color="auto"/>
              <w:left w:val="single" w:sz="4" w:space="0" w:color="auto"/>
              <w:bottom w:val="single" w:sz="4" w:space="0" w:color="auto"/>
              <w:right w:val="single" w:sz="4" w:space="0" w:color="auto"/>
            </w:tcBorders>
            <w:hideMark/>
          </w:tcPr>
          <w:p w14:paraId="41177E1A" w14:textId="77777777" w:rsidR="007252A2" w:rsidRDefault="007252A2">
            <w:pPr>
              <w:pStyle w:val="Proposal"/>
              <w:numPr>
                <w:ilvl w:val="0"/>
                <w:numId w:val="0"/>
              </w:numPr>
              <w:rPr>
                <w:bCs w:val="0"/>
              </w:rPr>
            </w:pPr>
            <w:bookmarkStart w:id="127" w:name="_Toc498716654"/>
            <w:r>
              <w:t>29</w:t>
            </w:r>
            <w:bookmarkEnd w:id="127"/>
          </w:p>
        </w:tc>
        <w:tc>
          <w:tcPr>
            <w:tcW w:w="1361" w:type="dxa"/>
            <w:tcBorders>
              <w:top w:val="single" w:sz="4" w:space="0" w:color="auto"/>
              <w:left w:val="single" w:sz="4" w:space="0" w:color="auto"/>
              <w:bottom w:val="single" w:sz="4" w:space="0" w:color="auto"/>
              <w:right w:val="single" w:sz="4" w:space="0" w:color="auto"/>
            </w:tcBorders>
            <w:hideMark/>
          </w:tcPr>
          <w:p w14:paraId="3D4D73D4" w14:textId="77777777" w:rsidR="007252A2" w:rsidRDefault="007252A2">
            <w:pPr>
              <w:pStyle w:val="Proposal"/>
              <w:numPr>
                <w:ilvl w:val="0"/>
                <w:numId w:val="0"/>
              </w:numPr>
              <w:rPr>
                <w:bCs w:val="0"/>
              </w:rPr>
            </w:pPr>
            <w:bookmarkStart w:id="128" w:name="_Toc498716655"/>
            <w:r>
              <w:t>13</w:t>
            </w:r>
            <w:bookmarkEnd w:id="128"/>
          </w:p>
        </w:tc>
        <w:tc>
          <w:tcPr>
            <w:tcW w:w="1361" w:type="dxa"/>
            <w:tcBorders>
              <w:top w:val="single" w:sz="4" w:space="0" w:color="auto"/>
              <w:left w:val="single" w:sz="4" w:space="0" w:color="auto"/>
              <w:bottom w:val="single" w:sz="4" w:space="0" w:color="auto"/>
              <w:right w:val="single" w:sz="4" w:space="0" w:color="auto"/>
            </w:tcBorders>
            <w:hideMark/>
          </w:tcPr>
          <w:p w14:paraId="5F615153" w14:textId="77777777" w:rsidR="007252A2" w:rsidRDefault="007252A2">
            <w:pPr>
              <w:pStyle w:val="Proposal"/>
              <w:numPr>
                <w:ilvl w:val="0"/>
                <w:numId w:val="0"/>
              </w:numPr>
              <w:rPr>
                <w:bCs w:val="0"/>
              </w:rPr>
            </w:pPr>
            <w:bookmarkStart w:id="129" w:name="_Toc498716656"/>
            <w:r>
              <w:t>7</w:t>
            </w:r>
            <w:bookmarkEnd w:id="129"/>
          </w:p>
        </w:tc>
      </w:tr>
    </w:tbl>
    <w:p w14:paraId="5F87DEC8" w14:textId="77777777" w:rsidR="007252A2" w:rsidRDefault="007252A2" w:rsidP="007252A2"/>
    <w:p w14:paraId="47A1FC94" w14:textId="5B31B3D3" w:rsidR="008863CD" w:rsidRDefault="008863CD" w:rsidP="008863CD">
      <w:pPr>
        <w:pStyle w:val="Proposal"/>
        <w:numPr>
          <w:ilvl w:val="0"/>
          <w:numId w:val="0"/>
        </w:numPr>
        <w:ind w:left="1701" w:hanging="1701"/>
      </w:pPr>
      <w:bookmarkStart w:id="130" w:name="_Toc496599757"/>
      <w:bookmarkStart w:id="131" w:name="_Toc494713976"/>
      <w:bookmarkStart w:id="132" w:name="_Toc494391453"/>
    </w:p>
    <w:p w14:paraId="235A9C59" w14:textId="77777777" w:rsidR="008863CD" w:rsidRDefault="008863CD" w:rsidP="008863CD">
      <w:pPr>
        <w:pStyle w:val="Proposal"/>
      </w:pPr>
      <w:bookmarkStart w:id="133" w:name="_Toc498716657"/>
      <w:r>
        <w:t xml:space="preserve">When the 15-bit scrambling ID,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ID</m:t>
            </m:r>
          </m:sub>
        </m:sSub>
      </m:oMath>
      <w:r>
        <w:t xml:space="preserve">, is not configured by higher layers, it shall be defined as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ID</m:t>
            </m:r>
          </m:sub>
        </m:sSub>
        <m:r>
          <m:rPr>
            <m:sty m:val="bi"/>
          </m:rPr>
          <w:rPr>
            <w:rFonts w:ascii="Cambria Math" w:hAnsi="Cambria Math"/>
          </w:rPr>
          <m:t>=31∙</m:t>
        </m:r>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where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refers to the physical cell ID.</w:t>
      </w:r>
      <w:bookmarkEnd w:id="133"/>
    </w:p>
    <w:bookmarkEnd w:id="130"/>
    <w:bookmarkEnd w:id="131"/>
    <w:bookmarkEnd w:id="132"/>
    <w:p w14:paraId="478D1063" w14:textId="77777777" w:rsidR="007252A2" w:rsidRDefault="007252A2" w:rsidP="007252A2">
      <w:pPr>
        <w:pStyle w:val="BodyText"/>
      </w:pPr>
    </w:p>
    <w:p w14:paraId="09BA7877" w14:textId="69421F5A" w:rsidR="007252A2" w:rsidRDefault="007252A2" w:rsidP="007252A2">
      <w:r>
        <w:t xml:space="preserve">The values of </w:t>
      </w:r>
      <m:oMath>
        <m:sSub>
          <m:sSubPr>
            <m:ctrlPr>
              <w:rPr>
                <w:rFonts w:ascii="Cambria Math" w:hAnsi="Cambria Math"/>
                <w:i/>
              </w:rPr>
            </m:ctrlPr>
          </m:sSubPr>
          <m:e>
            <m:r>
              <w:rPr>
                <w:rFonts w:ascii="Cambria Math" w:hAnsi="Cambria Math"/>
              </w:rPr>
              <m:t>Z</m:t>
            </m:r>
          </m:e>
          <m:sub>
            <m:r>
              <w:rPr>
                <w:rFonts w:ascii="Cambria Math" w:hAnsi="Cambria Math"/>
              </w:rPr>
              <m:t>μ</m:t>
            </m:r>
          </m:sub>
        </m:sSub>
      </m:oMath>
      <w:r>
        <w:t xml:space="preserve"> in </w:t>
      </w:r>
      <w:r>
        <w:fldChar w:fldCharType="begin"/>
      </w:r>
      <w:r>
        <w:instrText xml:space="preserve"> REF _Ref498592842 \h </w:instrText>
      </w:r>
      <w:r>
        <w:fldChar w:fldCharType="separate"/>
      </w:r>
      <w:r w:rsidR="00037459">
        <w:t xml:space="preserve">Table </w:t>
      </w:r>
      <w:r w:rsidR="00037459">
        <w:rPr>
          <w:noProof/>
        </w:rPr>
        <w:t>3</w:t>
      </w:r>
      <w:r>
        <w:fldChar w:fldCharType="end"/>
      </w:r>
      <w:r>
        <w:t xml:space="preserve"> </w:t>
      </w:r>
      <w:r w:rsidR="00E038C8">
        <w:t xml:space="preserve">and the scaling factor 31 of the physical cell ID </w:t>
      </w:r>
      <w:r>
        <w:t xml:space="preserve">refer to largest prime numbers fulfilling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m:rPr>
                        <m:nor/>
                      </m:rPr>
                      <w:rPr>
                        <w:rFonts w:ascii="Cambria Math" w:hAnsi="Cambria Math"/>
                      </w:rPr>
                      <m:t>max</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μ</m:t>
                            </m:r>
                          </m:sub>
                        </m:sSub>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e>
        </m:d>
        <m:r>
          <w:rPr>
            <w:rFonts w:ascii="Cambria Math" w:hAnsi="Cambria Math"/>
          </w:rPr>
          <m:t>=15</m:t>
        </m:r>
      </m:oMath>
      <w:r>
        <w:t xml:space="preserve"> </w:t>
      </w:r>
      <w:r w:rsidR="00E038C8">
        <w:t>and</w:t>
      </w:r>
      <m:oMath>
        <m:r>
          <w:rPr>
            <w:rFonts w:ascii="Cambria Math" w:hAnsi="Cambria Math"/>
          </w:rPr>
          <m:t xml:space="preserve"> </m:t>
        </m:r>
        <m:d>
          <m:dPr>
            <m:begChr m:val="⌈"/>
            <m:endChr m:val="⌉"/>
            <m:ctrlPr>
              <w:rPr>
                <w:rFonts w:ascii="Cambria Math" w:hAnsi="Cambria Math"/>
                <w:i/>
              </w:rPr>
            </m:ctrlPr>
          </m:dPr>
          <m:e>
            <m:r>
              <w:rPr>
                <w:rFonts w:ascii="Cambria Math" w:hAnsi="Cambria Math"/>
              </w:rPr>
              <m:t>31∙</m:t>
            </m:r>
            <m:r>
              <m:rPr>
                <m:nor/>
              </m:rP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e>
            </m:d>
          </m:e>
        </m:d>
        <m:r>
          <w:rPr>
            <w:rFonts w:ascii="Cambria Math" w:hAnsi="Cambria Math"/>
          </w:rPr>
          <m:t>=15</m:t>
        </m:r>
      </m:oMath>
      <w:r w:rsidR="00E038C8">
        <w:t>, respectively.</w:t>
      </w:r>
    </w:p>
    <w:p w14:paraId="60F5FC24" w14:textId="77777777" w:rsidR="007252A2" w:rsidRPr="007252A2" w:rsidRDefault="007252A2" w:rsidP="007252A2">
      <w:pPr>
        <w:rPr>
          <w:lang w:eastAsia="ja-JP"/>
        </w:rPr>
      </w:pPr>
    </w:p>
    <w:p w14:paraId="60DA3E13" w14:textId="7E5F50BC" w:rsidR="00743D20" w:rsidRDefault="00C06FA4" w:rsidP="00743D20">
      <w:pPr>
        <w:pStyle w:val="Heading2"/>
        <w:rPr>
          <w:lang w:eastAsia="ja-JP"/>
        </w:rPr>
      </w:pPr>
      <w:r>
        <w:rPr>
          <w:lang w:eastAsia="ja-JP"/>
        </w:rPr>
        <w:t>Sequence for DFT-S-OFDM</w:t>
      </w:r>
    </w:p>
    <w:p w14:paraId="7F970BAB" w14:textId="537851AB" w:rsidR="007252A2" w:rsidRDefault="00700788" w:rsidP="00A3360E">
      <w:pPr>
        <w:rPr>
          <w:rStyle w:val="Strong"/>
          <w:b w:val="0"/>
          <w:szCs w:val="24"/>
        </w:rPr>
      </w:pPr>
      <w:r>
        <w:rPr>
          <w:rStyle w:val="Strong"/>
          <w:b w:val="0"/>
          <w:szCs w:val="24"/>
        </w:rPr>
        <w:t xml:space="preserve">It has </w:t>
      </w:r>
      <w:r w:rsidR="00C62F33">
        <w:rPr>
          <w:rStyle w:val="Strong"/>
          <w:b w:val="0"/>
          <w:szCs w:val="24"/>
        </w:rPr>
        <w:t>previously been decided</w:t>
      </w:r>
      <w:r>
        <w:rPr>
          <w:rStyle w:val="Strong"/>
          <w:b w:val="0"/>
          <w:szCs w:val="24"/>
        </w:rPr>
        <w:t xml:space="preserve"> that DMRS for </w:t>
      </w:r>
      <w:r w:rsidR="00C62F33">
        <w:rPr>
          <w:rStyle w:val="Strong"/>
          <w:b w:val="0"/>
          <w:szCs w:val="24"/>
        </w:rPr>
        <w:t xml:space="preserve">the </w:t>
      </w:r>
      <w:r>
        <w:rPr>
          <w:rStyle w:val="Strong"/>
          <w:b w:val="0"/>
          <w:szCs w:val="24"/>
        </w:rPr>
        <w:t>DFT-S-OFDM waveform shall be based on the DMRS configuration type 1 (2-Combs) and that DMRS shall be derived from Zadoff-Chu sequences.</w:t>
      </w:r>
    </w:p>
    <w:p w14:paraId="5EA8D7EB" w14:textId="3D86EBC2" w:rsidR="00C06FA4" w:rsidRPr="00C06FA4" w:rsidRDefault="00C06FA4" w:rsidP="00C06FA4">
      <w:pPr>
        <w:pStyle w:val="Heading3"/>
        <w:rPr>
          <w:lang w:eastAsia="ja-JP"/>
        </w:rPr>
      </w:pPr>
      <w:r>
        <w:rPr>
          <w:lang w:eastAsia="ja-JP"/>
        </w:rPr>
        <w:t>QPSK and QAM modulations</w:t>
      </w:r>
    </w:p>
    <w:p w14:paraId="2F8C4269" w14:textId="492A872F" w:rsidR="00743D20" w:rsidRDefault="00C06FA4" w:rsidP="00743D20">
      <w:pPr>
        <w:pStyle w:val="BodyText"/>
        <w:rPr>
          <w:lang w:eastAsia="ja-JP"/>
        </w:rPr>
      </w:pPr>
      <w:r>
        <w:rPr>
          <w:lang w:eastAsia="ja-JP"/>
        </w:rPr>
        <w:t>A Comb-2 structure of UL D</w:t>
      </w:r>
      <w:r w:rsidR="00FD2E36">
        <w:rPr>
          <w:lang w:eastAsia="ja-JP"/>
        </w:rPr>
        <w:t>MRS was introduced in LTE rel-14</w:t>
      </w:r>
      <w:r>
        <w:rPr>
          <w:lang w:eastAsia="ja-JP"/>
        </w:rPr>
        <w:t xml:space="preserve"> in which the DMRS sequences are either derived from ZC sequences or Monte Carlo generated QPSK sequences, depending on the size of the RB allocation. As the Comb-2 structure (i.e. DMRS configuration type 1) and ZC will be used also in UL NR, the same DMRS sequence design could be reused in principle. Hence, we propose to reuse the LTE sequence design including bandwidths down to 1 RB, though with adaptations to extended set of cell IDs and scheduling bandwidths.</w:t>
      </w:r>
    </w:p>
    <w:p w14:paraId="366C69B6" w14:textId="19C96FE3" w:rsidR="006B0E7D" w:rsidRDefault="006B0E7D" w:rsidP="006B0E7D">
      <w:pPr>
        <w:pStyle w:val="Proposal"/>
      </w:pPr>
      <w:bookmarkStart w:id="134" w:name="_Toc494391456"/>
      <w:bookmarkStart w:id="135" w:name="_Toc494713979"/>
      <w:bookmarkStart w:id="136" w:name="_Toc496599760"/>
      <w:bookmarkStart w:id="137" w:name="_Toc498716658"/>
      <w:r>
        <w:rPr>
          <w:lang w:eastAsia="ja-JP"/>
        </w:rPr>
        <w:t xml:space="preserve">Reuse the LTE UL DMRS sequence design down to 1 RB scheduling BW and use initialization based on </w:t>
      </w:r>
      <w:r w:rsidRPr="00A13EF0">
        <w:rPr>
          <w:position w:val="-10"/>
        </w:rPr>
        <w:object w:dxaOrig="340" w:dyaOrig="360" w14:anchorId="781E5A51">
          <v:shape id="_x0000_i1049" type="#_x0000_t75" style="width:18pt;height:18pt" o:ole="">
            <v:imagedata r:id="rId19" o:title=""/>
          </v:shape>
          <o:OLEObject Type="Embed" ProgID="Equation.3" ShapeID="_x0000_i1049" DrawAspect="Content" ObjectID="_1572458556" r:id="rId20"/>
        </w:object>
      </w:r>
      <w:r>
        <w:t xml:space="preserve"> that i</w:t>
      </w:r>
      <w:r w:rsidR="00A3360E">
        <w:t>s selected from a set of higher-</w:t>
      </w:r>
      <w:r>
        <w:t xml:space="preserve">layer configured numbers </w:t>
      </w:r>
      <w:r>
        <w:lastRenderedPageBreak/>
        <w:t xml:space="preserve">and further selected from the set by scheduling DCI. The value </w:t>
      </w:r>
      <w:r w:rsidRPr="00A13EF0">
        <w:rPr>
          <w:position w:val="-10"/>
        </w:rPr>
        <w:object w:dxaOrig="340" w:dyaOrig="360" w14:anchorId="3F7BC91E">
          <v:shape id="_x0000_i1050" type="#_x0000_t75" style="width:18pt;height:18pt" o:ole="">
            <v:imagedata r:id="rId19" o:title=""/>
          </v:shape>
          <o:OLEObject Type="Embed" ProgID="Equation.3" ShapeID="_x0000_i1050" DrawAspect="Content" ObjectID="_1572458557" r:id="rId21"/>
        </w:object>
      </w:r>
      <w:r>
        <w:t xml:space="preserve"> is equal to the cell</w:t>
      </w:r>
      <w:r w:rsidR="00A3360E">
        <w:t xml:space="preserve"> </w:t>
      </w:r>
      <w:r>
        <w:t xml:space="preserve">ID </w:t>
      </w:r>
      <w:r w:rsidRPr="00A13EF0">
        <w:rPr>
          <w:position w:val="-10"/>
        </w:rPr>
        <w:object w:dxaOrig="460" w:dyaOrig="340" w14:anchorId="0ADF5FD7">
          <v:shape id="_x0000_i1051" type="#_x0000_t75" style="width:23.25pt;height:18pt" o:ole="">
            <v:imagedata r:id="rId22" o:title=""/>
          </v:shape>
          <o:OLEObject Type="Embed" ProgID="Equation.3" ShapeID="_x0000_i1051" DrawAspect="Content" ObjectID="_1572458558" r:id="rId23"/>
        </w:object>
      </w:r>
      <w:r>
        <w:t xml:space="preserve"> if not configured by higher layers.</w:t>
      </w:r>
      <w:bookmarkEnd w:id="134"/>
      <w:bookmarkEnd w:id="135"/>
      <w:bookmarkEnd w:id="136"/>
      <w:bookmarkEnd w:id="137"/>
      <w:r>
        <w:t xml:space="preserve"> </w:t>
      </w:r>
    </w:p>
    <w:p w14:paraId="777B50BB" w14:textId="375BE136" w:rsidR="00692FCC" w:rsidRPr="001A1EA3" w:rsidRDefault="00692FCC" w:rsidP="006B0E7D">
      <w:pPr>
        <w:pStyle w:val="Proposal"/>
        <w:numPr>
          <w:ilvl w:val="0"/>
          <w:numId w:val="0"/>
        </w:numPr>
        <w:ind w:left="1701"/>
        <w:rPr>
          <w:lang w:eastAsia="ja-JP"/>
        </w:rPr>
      </w:pPr>
    </w:p>
    <w:p w14:paraId="59E70019" w14:textId="4C90BB93" w:rsidR="00DF1FD5" w:rsidRDefault="00AC0AB1" w:rsidP="00C06FA4">
      <w:pPr>
        <w:pStyle w:val="Heading3"/>
        <w:rPr>
          <w:lang w:eastAsia="ja-JP"/>
        </w:rPr>
      </w:pPr>
      <w:r>
        <w:rPr>
          <w:lang w:eastAsia="ja-JP"/>
        </w:rPr>
        <w:t>π</w:t>
      </w:r>
      <w:r w:rsidR="00743D20">
        <w:rPr>
          <w:lang w:eastAsia="ja-JP"/>
        </w:rPr>
        <w:t>/2-BPSK</w:t>
      </w:r>
      <w:r w:rsidR="00C06FA4">
        <w:rPr>
          <w:lang w:eastAsia="ja-JP"/>
        </w:rPr>
        <w:t xml:space="preserve"> modulation</w:t>
      </w:r>
      <w:bookmarkEnd w:id="4"/>
    </w:p>
    <w:p w14:paraId="0629860E" w14:textId="5C8C2F2B" w:rsidR="00C06FA4" w:rsidRDefault="00C06FA4" w:rsidP="00C06FA4">
      <w:r>
        <w:t xml:space="preserve">It has previously been decided to support </w:t>
      </w:r>
      <w:r w:rsidRPr="006E6531">
        <w:rPr>
          <w:rFonts w:ascii="Symbol" w:hAnsi="Symbol"/>
        </w:rPr>
        <w:t></w:t>
      </w:r>
      <w:r>
        <w:t xml:space="preserve">/2 BPSK modulation of data for the DFTS waveform as well as to support frequency domain spectrum shaping of that modulation. With FDSS applied to DFT-spread </w:t>
      </w:r>
      <w:r w:rsidRPr="006E6531">
        <w:rPr>
          <w:rFonts w:ascii="Symbol" w:hAnsi="Symbol"/>
        </w:rPr>
        <w:t></w:t>
      </w:r>
      <w:r>
        <w:t>/2 BPSK, a lower CM and PAPR can be obtained than with FDSS applied to ZC sequences</w:t>
      </w:r>
      <w:r w:rsidR="0013345B">
        <w:t xml:space="preserve"> </w:t>
      </w:r>
      <w:r w:rsidR="0013345B">
        <w:fldChar w:fldCharType="begin"/>
      </w:r>
      <w:r w:rsidR="0013345B">
        <w:instrText xml:space="preserve"> REF _Ref494734354 \r \h </w:instrText>
      </w:r>
      <w:r w:rsidR="0013345B">
        <w:fldChar w:fldCharType="separate"/>
      </w:r>
      <w:r w:rsidR="00037459">
        <w:t>[3]</w:t>
      </w:r>
      <w:r w:rsidR="0013345B">
        <w:fldChar w:fldCharType="end"/>
      </w:r>
      <w:r w:rsidR="0013345B">
        <w:t xml:space="preserve">. This </w:t>
      </w:r>
      <w:r>
        <w:t>could mo</w:t>
      </w:r>
      <w:r w:rsidR="007414DC">
        <w:t xml:space="preserve">tivate to introduce a </w:t>
      </w:r>
      <w:r w:rsidR="007414DC">
        <w:rPr>
          <w:lang w:eastAsia="ja-JP"/>
        </w:rPr>
        <w:t xml:space="preserve">DFT-spread </w:t>
      </w:r>
      <w:r>
        <w:t xml:space="preserve">DMRS design for </w:t>
      </w:r>
      <w:r w:rsidRPr="006E6531">
        <w:rPr>
          <w:rFonts w:ascii="Symbol" w:hAnsi="Symbol"/>
        </w:rPr>
        <w:t></w:t>
      </w:r>
      <w:r>
        <w:t>/2 BPSK</w:t>
      </w:r>
      <w:r w:rsidR="007414DC">
        <w:t>.</w:t>
      </w:r>
    </w:p>
    <w:p w14:paraId="2049E025" w14:textId="13637341" w:rsidR="0013345B" w:rsidRDefault="0013345B" w:rsidP="0013345B">
      <w:pPr>
        <w:pStyle w:val="BodyText"/>
        <w:rPr>
          <w:lang w:eastAsia="ja-JP"/>
        </w:rPr>
      </w:pPr>
      <w:r>
        <w:rPr>
          <w:lang w:eastAsia="ja-JP"/>
        </w:rPr>
        <w:t xml:space="preserve">With DMRS based on ZC sequences, </w:t>
      </w:r>
      <w:r w:rsidR="007414DC">
        <w:rPr>
          <w:lang w:eastAsia="ja-JP"/>
        </w:rPr>
        <w:t xml:space="preserve">MU-MIMO with orthogonal DMRS ports </w:t>
      </w:r>
      <w:r>
        <w:rPr>
          <w:lang w:eastAsia="ja-JP"/>
        </w:rPr>
        <w:t xml:space="preserve">can readily be supported by either assigning users on different combs or separate users </w:t>
      </w:r>
      <w:r w:rsidR="009B62AA">
        <w:rPr>
          <w:lang w:eastAsia="ja-JP"/>
        </w:rPr>
        <w:t xml:space="preserve">on same </w:t>
      </w:r>
      <w:r w:rsidR="00CA5465">
        <w:rPr>
          <w:lang w:eastAsia="ja-JP"/>
        </w:rPr>
        <w:t xml:space="preserve">comb </w:t>
      </w:r>
      <w:r>
        <w:rPr>
          <w:lang w:eastAsia="ja-JP"/>
        </w:rPr>
        <w:t>with same PRB allocations by applying cyclic shifts on a common base sequence. In the case of introducing a DFT-spread DMRS design, applying cyclic shifts would evidently not be possible so only combs could be considered.</w:t>
      </w:r>
    </w:p>
    <w:p w14:paraId="57506B61" w14:textId="0641F960" w:rsidR="0013345B" w:rsidRDefault="00C62F33" w:rsidP="0013345B">
      <w:pPr>
        <w:pStyle w:val="BodyText"/>
        <w:rPr>
          <w:lang w:eastAsia="ja-JP"/>
        </w:rPr>
      </w:pPr>
      <w:r>
        <w:rPr>
          <w:lang w:eastAsia="ja-JP"/>
        </w:rPr>
        <w:t xml:space="preserve">For </w:t>
      </w:r>
      <w:r w:rsidR="00CA5465">
        <w:rPr>
          <w:lang w:eastAsia="ja-JP"/>
        </w:rPr>
        <w:t xml:space="preserve">the </w:t>
      </w:r>
      <w:r>
        <w:rPr>
          <w:lang w:eastAsia="ja-JP"/>
        </w:rPr>
        <w:t xml:space="preserve">DFT-S-OFDM waveform, it has </w:t>
      </w:r>
      <w:r w:rsidR="00892DE9">
        <w:rPr>
          <w:lang w:eastAsia="ja-JP"/>
        </w:rPr>
        <w:t xml:space="preserve">thus </w:t>
      </w:r>
      <w:r>
        <w:rPr>
          <w:lang w:eastAsia="ja-JP"/>
        </w:rPr>
        <w:t xml:space="preserve">been decided to use DMRS configuration type 1 so DMRS should be mapped on </w:t>
      </w:r>
      <w:r w:rsidR="00892DE9">
        <w:rPr>
          <w:lang w:eastAsia="ja-JP"/>
        </w:rPr>
        <w:t xml:space="preserve">2-Comb structure. </w:t>
      </w:r>
      <w:r w:rsidR="00CA5465">
        <w:rPr>
          <w:lang w:eastAsia="ja-JP"/>
        </w:rPr>
        <w:t xml:space="preserve">With a DFTS sequence of length </w:t>
      </w:r>
      <m:oMath>
        <m:r>
          <w:rPr>
            <w:rFonts w:ascii="Cambria Math" w:hAnsi="Cambria Math"/>
            <w:lang w:eastAsia="ja-JP"/>
          </w:rPr>
          <m:t>M</m:t>
        </m:r>
      </m:oMath>
      <w:r w:rsidR="00CA5465">
        <w:rPr>
          <w:lang w:eastAsia="ja-JP"/>
        </w:rPr>
        <w:t xml:space="preserve">, this can be achieved with a block DMRS sequence in which DMRS sequences of </w:t>
      </w:r>
      <w:r w:rsidR="0013345B">
        <w:rPr>
          <w:lang w:eastAsia="ja-JP"/>
        </w:rPr>
        <w:t xml:space="preserve">length </w:t>
      </w:r>
      <m:oMath>
        <m:r>
          <w:rPr>
            <w:rFonts w:ascii="Cambria Math" w:hAnsi="Cambria Math"/>
            <w:lang w:eastAsia="ja-JP"/>
          </w:rPr>
          <m:t>M/2</m:t>
        </m:r>
      </m:oMath>
      <w:r w:rsidR="0013345B">
        <w:rPr>
          <w:lang w:eastAsia="ja-JP"/>
        </w:rPr>
        <w:t xml:space="preserve"> are concatenated as</w:t>
      </w:r>
    </w:p>
    <w:p w14:paraId="44124A71" w14:textId="76A1B444" w:rsidR="0013345B" w:rsidRDefault="005E6FAC" w:rsidP="0013345B">
      <w:pPr>
        <w:pStyle w:val="BodyText"/>
        <w:jc w:val="center"/>
        <w:rPr>
          <w:lang w:eastAsia="ja-JP"/>
        </w:rPr>
      </w:pPr>
      <m:oMath>
        <m:sSubSup>
          <m:sSubSupPr>
            <m:ctrlPr>
              <w:rPr>
                <w:rFonts w:ascii="Cambria Math" w:hAnsi="Cambria Math"/>
                <w:i/>
                <w:lang w:eastAsia="ja-JP"/>
              </w:rPr>
            </m:ctrlPr>
          </m:sSubSupPr>
          <m:e>
            <m:r>
              <w:rPr>
                <w:rFonts w:ascii="Cambria Math" w:hAnsi="Cambria Math"/>
                <w:lang w:eastAsia="ja-JP"/>
              </w:rPr>
              <m:t>r</m:t>
            </m:r>
          </m:e>
          <m:sub>
            <m:r>
              <w:rPr>
                <w:rFonts w:ascii="Cambria Math" w:hAnsi="Cambria Math"/>
                <w:lang w:eastAsia="ja-JP"/>
              </w:rPr>
              <m:t>M</m:t>
            </m:r>
          </m:sub>
          <m:sup>
            <m:r>
              <w:rPr>
                <w:rFonts w:ascii="Cambria Math" w:hAnsi="Cambria Math"/>
                <w:lang w:eastAsia="ja-JP"/>
              </w:rPr>
              <m:t>(0)</m:t>
            </m:r>
          </m:sup>
        </m:sSubSup>
        <m:r>
          <w:rPr>
            <w:rFonts w:ascii="Cambria Math" w:hAnsi="Cambria Math"/>
            <w:lang w:eastAsia="ja-JP"/>
          </w:rPr>
          <m:t>=</m:t>
        </m:r>
        <m:d>
          <m:dPr>
            <m:begChr m:val="["/>
            <m:endChr m:val="]"/>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r</m:t>
                </m:r>
              </m:e>
              <m:sub>
                <m:r>
                  <w:rPr>
                    <w:rFonts w:ascii="Cambria Math" w:hAnsi="Cambria Math"/>
                    <w:lang w:eastAsia="ja-JP"/>
                  </w:rPr>
                  <m:t>M/2</m:t>
                </m:r>
              </m:sub>
              <m:sup>
                <m:r>
                  <w:rPr>
                    <w:rFonts w:ascii="Cambria Math" w:hAnsi="Cambria Math"/>
                    <w:lang w:eastAsia="ja-JP"/>
                  </w:rPr>
                  <m:t>(0)</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r</m:t>
                </m:r>
              </m:e>
              <m:sub>
                <m:r>
                  <w:rPr>
                    <w:rFonts w:ascii="Cambria Math" w:hAnsi="Cambria Math"/>
                    <w:lang w:eastAsia="ja-JP"/>
                  </w:rPr>
                  <m:t>M/2</m:t>
                </m:r>
              </m:sub>
              <m:sup>
                <m:r>
                  <w:rPr>
                    <w:rFonts w:ascii="Cambria Math" w:hAnsi="Cambria Math"/>
                    <w:lang w:eastAsia="ja-JP"/>
                  </w:rPr>
                  <m:t>(0)</m:t>
                </m:r>
              </m:sup>
            </m:sSubSup>
          </m:e>
        </m:d>
      </m:oMath>
      <w:r w:rsidR="0013345B">
        <w:rPr>
          <w:lang w:eastAsia="ja-JP"/>
        </w:rPr>
        <w:t xml:space="preserve"> and </w:t>
      </w:r>
      <m:oMath>
        <m:sSubSup>
          <m:sSubSupPr>
            <m:ctrlPr>
              <w:rPr>
                <w:rFonts w:ascii="Cambria Math" w:hAnsi="Cambria Math"/>
                <w:i/>
                <w:lang w:eastAsia="ja-JP"/>
              </w:rPr>
            </m:ctrlPr>
          </m:sSubSupPr>
          <m:e>
            <m:r>
              <w:rPr>
                <w:rFonts w:ascii="Cambria Math" w:hAnsi="Cambria Math"/>
                <w:lang w:eastAsia="ja-JP"/>
              </w:rPr>
              <m:t>r</m:t>
            </m:r>
          </m:e>
          <m:sub>
            <m:r>
              <w:rPr>
                <w:rFonts w:ascii="Cambria Math" w:hAnsi="Cambria Math"/>
                <w:lang w:eastAsia="ja-JP"/>
              </w:rPr>
              <m:t>M</m:t>
            </m:r>
          </m:sub>
          <m:sup>
            <m:r>
              <w:rPr>
                <w:rFonts w:ascii="Cambria Math" w:hAnsi="Cambria Math"/>
                <w:lang w:eastAsia="ja-JP"/>
              </w:rPr>
              <m:t>(1)</m:t>
            </m:r>
          </m:sup>
        </m:sSubSup>
        <m:r>
          <w:rPr>
            <w:rFonts w:ascii="Cambria Math" w:hAnsi="Cambria Math"/>
            <w:lang w:eastAsia="ja-JP"/>
          </w:rPr>
          <m:t>=</m:t>
        </m:r>
        <m:d>
          <m:dPr>
            <m:begChr m:val="["/>
            <m:endChr m:val="]"/>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r</m:t>
                </m:r>
              </m:e>
              <m:sub>
                <m:r>
                  <w:rPr>
                    <w:rFonts w:ascii="Cambria Math" w:hAnsi="Cambria Math"/>
                    <w:lang w:eastAsia="ja-JP"/>
                  </w:rPr>
                  <m:t>M/2</m:t>
                </m:r>
              </m:sub>
              <m:sup>
                <m:r>
                  <w:rPr>
                    <w:rFonts w:ascii="Cambria Math" w:hAnsi="Cambria Math"/>
                    <w:lang w:eastAsia="ja-JP"/>
                  </w:rPr>
                  <m:t>(1)</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-r</m:t>
                </m:r>
              </m:e>
              <m:sub>
                <m:r>
                  <w:rPr>
                    <w:rFonts w:ascii="Cambria Math" w:hAnsi="Cambria Math"/>
                    <w:lang w:eastAsia="ja-JP"/>
                  </w:rPr>
                  <m:t>M/2</m:t>
                </m:r>
              </m:sub>
              <m:sup>
                <m:r>
                  <w:rPr>
                    <w:rFonts w:ascii="Cambria Math" w:hAnsi="Cambria Math"/>
                    <w:lang w:eastAsia="ja-JP"/>
                  </w:rPr>
                  <m:t>(1)</m:t>
                </m:r>
              </m:sup>
            </m:sSubSup>
          </m:e>
        </m:d>
      </m:oMath>
      <w:r w:rsidR="0013345B">
        <w:rPr>
          <w:lang w:eastAsia="ja-JP"/>
        </w:rPr>
        <w:t>.</w:t>
      </w:r>
    </w:p>
    <w:p w14:paraId="43344560" w14:textId="0AAA5883" w:rsidR="0013345B" w:rsidRDefault="0013345B" w:rsidP="0013345B">
      <w:pPr>
        <w:pStyle w:val="BodyText"/>
        <w:rPr>
          <w:lang w:eastAsia="ja-JP"/>
        </w:rPr>
      </w:pPr>
      <w:r>
        <w:rPr>
          <w:lang w:eastAsia="ja-JP"/>
        </w:rPr>
        <w:t xml:space="preserve">After DFT-spreading, the DMRS sequence associated with </w:t>
      </w:r>
      <m:oMath>
        <m:sSubSup>
          <m:sSubSupPr>
            <m:ctrlPr>
              <w:rPr>
                <w:rFonts w:ascii="Cambria Math" w:hAnsi="Cambria Math"/>
                <w:i/>
                <w:lang w:eastAsia="ja-JP"/>
              </w:rPr>
            </m:ctrlPr>
          </m:sSubSupPr>
          <m:e>
            <m:r>
              <w:rPr>
                <w:rFonts w:ascii="Cambria Math" w:hAnsi="Cambria Math"/>
                <w:lang w:eastAsia="ja-JP"/>
              </w:rPr>
              <m:t>r</m:t>
            </m:r>
          </m:e>
          <m:sub>
            <m:r>
              <w:rPr>
                <w:rFonts w:ascii="Cambria Math" w:hAnsi="Cambria Math"/>
                <w:lang w:eastAsia="ja-JP"/>
              </w:rPr>
              <m:t>M</m:t>
            </m:r>
          </m:sub>
          <m:sup>
            <m:r>
              <w:rPr>
                <w:rFonts w:ascii="Cambria Math" w:hAnsi="Cambria Math"/>
                <w:lang w:eastAsia="ja-JP"/>
              </w:rPr>
              <m:t>(0)</m:t>
            </m:r>
          </m:sup>
        </m:sSubSup>
      </m:oMath>
      <w:r>
        <w:rPr>
          <w:lang w:eastAsia="ja-JP"/>
        </w:rPr>
        <w:t xml:space="preserve"> will be mapped on even subcarriers whereas the DMRS sequence associated with </w:t>
      </w:r>
      <m:oMath>
        <m:sSubSup>
          <m:sSubSupPr>
            <m:ctrlPr>
              <w:rPr>
                <w:rFonts w:ascii="Cambria Math" w:hAnsi="Cambria Math"/>
                <w:i/>
                <w:lang w:eastAsia="ja-JP"/>
              </w:rPr>
            </m:ctrlPr>
          </m:sSubSupPr>
          <m:e>
            <m:r>
              <w:rPr>
                <w:rFonts w:ascii="Cambria Math" w:hAnsi="Cambria Math"/>
                <w:lang w:eastAsia="ja-JP"/>
              </w:rPr>
              <m:t>r</m:t>
            </m:r>
          </m:e>
          <m:sub>
            <m:r>
              <w:rPr>
                <w:rFonts w:ascii="Cambria Math" w:hAnsi="Cambria Math"/>
                <w:lang w:eastAsia="ja-JP"/>
              </w:rPr>
              <m:t>M</m:t>
            </m:r>
          </m:sub>
          <m:sup>
            <m:r>
              <w:rPr>
                <w:rFonts w:ascii="Cambria Math" w:hAnsi="Cambria Math"/>
                <w:lang w:eastAsia="ja-JP"/>
              </w:rPr>
              <m:t>(1)</m:t>
            </m:r>
          </m:sup>
        </m:sSubSup>
      </m:oMath>
      <w:r>
        <w:rPr>
          <w:lang w:eastAsia="ja-JP"/>
        </w:rPr>
        <w:t xml:space="preserve"> will be mapped on odd subcarriers.</w:t>
      </w:r>
    </w:p>
    <w:p w14:paraId="106BB387" w14:textId="2EAB34EF" w:rsidR="0013345B" w:rsidRDefault="0013345B" w:rsidP="0013345B">
      <w:pPr>
        <w:pStyle w:val="BodyText"/>
        <w:rPr>
          <w:lang w:eastAsia="ja-JP"/>
        </w:rPr>
      </w:pPr>
      <w:r>
        <w:rPr>
          <w:lang w:eastAsia="ja-JP"/>
        </w:rPr>
        <w:t xml:space="preserve">This way of designing the DFT-spreading DMRS thus enables spatial multiplexing </w:t>
      </w:r>
      <w:r w:rsidR="00C62F33">
        <w:rPr>
          <w:lang w:eastAsia="ja-JP"/>
        </w:rPr>
        <w:t xml:space="preserve">with orthogonal DMRS ports </w:t>
      </w:r>
      <w:r>
        <w:rPr>
          <w:lang w:eastAsia="ja-JP"/>
        </w:rPr>
        <w:t xml:space="preserve">of pi/2 BPSK DFTS users by assigning the block spreading sequence </w:t>
      </w:r>
      <m:oMath>
        <m:d>
          <m:dPr>
            <m:begChr m:val="["/>
            <m:endChr m:val="]"/>
            <m:ctrlPr>
              <w:rPr>
                <w:rFonts w:ascii="Cambria Math" w:hAnsi="Cambria Math"/>
                <w:i/>
                <w:lang w:eastAsia="ja-JP"/>
              </w:rPr>
            </m:ctrlPr>
          </m:dPr>
          <m:e>
            <m:r>
              <w:rPr>
                <w:rFonts w:ascii="Cambria Math" w:hAnsi="Cambria Math"/>
                <w:lang w:eastAsia="ja-JP"/>
              </w:rPr>
              <m:t>1,1</m:t>
            </m:r>
          </m:e>
        </m:d>
      </m:oMath>
      <w:r>
        <w:rPr>
          <w:lang w:eastAsia="ja-JP"/>
        </w:rPr>
        <w:t xml:space="preserve"> to one user and the block spreading sequence </w:t>
      </w:r>
      <m:oMath>
        <m:d>
          <m:dPr>
            <m:begChr m:val="["/>
            <m:endChr m:val="]"/>
            <m:ctrlPr>
              <w:rPr>
                <w:rFonts w:ascii="Cambria Math" w:hAnsi="Cambria Math"/>
                <w:i/>
                <w:lang w:eastAsia="ja-JP"/>
              </w:rPr>
            </m:ctrlPr>
          </m:dPr>
          <m:e>
            <m:r>
              <w:rPr>
                <w:rFonts w:ascii="Cambria Math" w:hAnsi="Cambria Math"/>
                <w:lang w:eastAsia="ja-JP"/>
              </w:rPr>
              <m:t>1,-1</m:t>
            </m:r>
          </m:e>
        </m:d>
      </m:oMath>
      <w:r>
        <w:rPr>
          <w:lang w:eastAsia="ja-JP"/>
        </w:rPr>
        <w:t xml:space="preserve"> to another user. Spatial multiplexing of a pi/2 BPSK transmission with other type of transmissions would evidently be supported by assigning the corresponding DM-RS transmissions on different combs.</w:t>
      </w:r>
    </w:p>
    <w:p w14:paraId="1D58B97B" w14:textId="57DF779A" w:rsidR="00A3360E" w:rsidRPr="00A3360E" w:rsidRDefault="008E6C86" w:rsidP="00A3360E">
      <w:pPr>
        <w:pStyle w:val="Proposal"/>
      </w:pPr>
      <w:bookmarkStart w:id="138" w:name="_Toc496599761"/>
      <w:bookmarkStart w:id="139" w:name="_Toc498716659"/>
      <w:r>
        <w:t xml:space="preserve">DMRS for </w:t>
      </w:r>
      <w:r w:rsidR="00A3360E" w:rsidRPr="00A3360E">
        <w:t xml:space="preserve">DFT-spread </w:t>
      </w:r>
      <w:r w:rsidR="00A3360E" w:rsidRPr="00A3360E">
        <w:rPr>
          <w:rFonts w:ascii="Symbol" w:hAnsi="Symbol"/>
        </w:rPr>
        <w:t></w:t>
      </w:r>
      <w:r w:rsidR="00A3360E" w:rsidRPr="00A3360E">
        <w:t xml:space="preserve">/2 BPSK </w:t>
      </w:r>
      <w:bookmarkEnd w:id="138"/>
      <w:r w:rsidR="00CA5465">
        <w:t>data</w:t>
      </w:r>
      <w:r>
        <w:t xml:space="preserve"> is mapped on a 2-Comb</w:t>
      </w:r>
      <w:bookmarkEnd w:id="139"/>
    </w:p>
    <w:p w14:paraId="1B66AB92" w14:textId="3079BDE2" w:rsidR="00C06FA4" w:rsidRPr="00F002D7" w:rsidRDefault="00C06FA4" w:rsidP="00C06FA4">
      <w:pPr>
        <w:rPr>
          <w:b/>
          <w:lang w:eastAsia="ja-JP"/>
        </w:rPr>
      </w:pPr>
    </w:p>
    <w:p w14:paraId="511569A5" w14:textId="350814FC" w:rsidR="00C93CC7" w:rsidRDefault="00C93CC7" w:rsidP="00E5689D">
      <w:pPr>
        <w:pStyle w:val="Heading1"/>
      </w:pPr>
      <w:r>
        <w:t>Power boosting and power imbalance issues</w:t>
      </w:r>
    </w:p>
    <w:p w14:paraId="1219C896" w14:textId="2C7872F1" w:rsidR="00BE1F26" w:rsidRDefault="009B50CE" w:rsidP="001B5A08">
      <w:pPr>
        <w:pStyle w:val="Heading2"/>
      </w:pPr>
      <w:r>
        <w:t>Power boosting of DMRS</w:t>
      </w:r>
    </w:p>
    <w:p w14:paraId="274D13A3" w14:textId="07EFA794" w:rsidR="00362AC6" w:rsidRDefault="00362AC6" w:rsidP="00362AC6">
      <w:r>
        <w:t xml:space="preserve">To increase spectral efficiency or/and channel estimation performance, it was agreed that in the meeting RAN1_90 NR#3 </w:t>
      </w:r>
      <w:r>
        <w:fldChar w:fldCharType="begin"/>
      </w:r>
      <w:r>
        <w:instrText xml:space="preserve"> REF _Ref498693231 \r \h </w:instrText>
      </w:r>
      <w:r>
        <w:fldChar w:fldCharType="separate"/>
      </w:r>
      <w:r w:rsidR="00037459">
        <w:t>[6]</w:t>
      </w:r>
      <w:r>
        <w:fldChar w:fldCharType="end"/>
      </w:r>
      <w:r>
        <w:t xml:space="preserve"> that </w:t>
      </w:r>
    </w:p>
    <w:p w14:paraId="52F7274F" w14:textId="77777777" w:rsidR="00362AC6" w:rsidRDefault="00362AC6" w:rsidP="00362AC6">
      <w:pPr>
        <w:pStyle w:val="ListParagraph"/>
        <w:numPr>
          <w:ilvl w:val="0"/>
          <w:numId w:val="32"/>
        </w:numPr>
      </w:pPr>
      <w:r>
        <w:t>NR support FDM between DMRS and data in the DMRS symbols,</w:t>
      </w:r>
    </w:p>
    <w:p w14:paraId="6EABEC65" w14:textId="77777777" w:rsidR="00362AC6" w:rsidRDefault="00362AC6" w:rsidP="00362AC6">
      <w:pPr>
        <w:pStyle w:val="ListParagraph"/>
        <w:numPr>
          <w:ilvl w:val="0"/>
          <w:numId w:val="32"/>
        </w:numPr>
      </w:pPr>
      <w:r>
        <w:t>NR support signalling for rate matching in the DMRS symbols.</w:t>
      </w:r>
    </w:p>
    <w:p w14:paraId="5498D1B5" w14:textId="65BCC248" w:rsidR="00362AC6" w:rsidRDefault="00362AC6" w:rsidP="00362AC6">
      <w:r>
        <w:t xml:space="preserve">The purpose is to introduce flexibility that when there are empty REs which are not occupied by RS in the DMRS symbol, there exist options either using them for data or keeping them empty while allocating the equal power to the DMRS symbol as the data symbols. In our evaluations </w:t>
      </w:r>
      <w:r>
        <w:fldChar w:fldCharType="begin"/>
      </w:r>
      <w:r>
        <w:instrText xml:space="preserve"> REF _Ref478147625 \r \h </w:instrText>
      </w:r>
      <w:r>
        <w:fldChar w:fldCharType="separate"/>
      </w:r>
      <w:r w:rsidR="00037459">
        <w:t>[1]</w:t>
      </w:r>
      <w:r>
        <w:fldChar w:fldCharType="end"/>
      </w:r>
      <w:r>
        <w:t>, it is shown that at least for low SNR scenarios power boosting the DMRS REs can achieve better BLER performance for a fixed payload transmission. Therefore, power boosting the DMRS REs needs to be</w:t>
      </w:r>
      <w:r w:rsidR="006B4EC5">
        <w:t xml:space="preserve"> supported by NR. </w:t>
      </w:r>
    </w:p>
    <w:p w14:paraId="7A4ADD06" w14:textId="2222EFC7" w:rsidR="006B4EC5" w:rsidRDefault="006B4EC5" w:rsidP="00362AC6">
      <w:r>
        <w:t>Regarding the power boosting ratio of DMRS REs</w:t>
      </w:r>
      <w:r w:rsidR="002E7464">
        <w:t xml:space="preserve"> (which is defined as the </w:t>
      </w:r>
      <m:oMath>
        <m:f>
          <m:fPr>
            <m:ctrlPr>
              <w:rPr>
                <w:rFonts w:ascii="Cambria Math" w:hAnsi="Cambria Math"/>
                <w:i/>
              </w:rPr>
            </m:ctrlPr>
          </m:fPr>
          <m:num>
            <m:r>
              <w:rPr>
                <w:rFonts w:ascii="Cambria Math" w:hAnsi="Cambria Math"/>
              </w:rPr>
              <m:t>DATA_EPRE</m:t>
            </m:r>
          </m:num>
          <m:den>
            <m:r>
              <w:rPr>
                <w:rFonts w:ascii="Cambria Math" w:hAnsi="Cambria Math"/>
              </w:rPr>
              <m:t>DMRS_EPRE</m:t>
            </m:r>
          </m:den>
        </m:f>
      </m:oMath>
      <w:r w:rsidR="002E7464">
        <w:t>)</w:t>
      </w:r>
      <w:r>
        <w:t xml:space="preserve">, the key principle is that the total power on the DMRS symbol should be the same as that for data symbols in all possible port allocations. Therefore, the key factor is to count the number of non-used </w:t>
      </w:r>
      <w:r w:rsidR="002E7464">
        <w:t xml:space="preserve">zero power </w:t>
      </w:r>
      <w:r>
        <w:t xml:space="preserve">REs in the DMRS symbol such that the power can be re-allocated to the DMRS for the enhancement of channel estimation performance. In </w:t>
      </w:r>
      <w:r>
        <w:fldChar w:fldCharType="begin"/>
      </w:r>
      <w:r>
        <w:instrText xml:space="preserve"> REF _Ref498693834 \r \h </w:instrText>
      </w:r>
      <w:r>
        <w:fldChar w:fldCharType="separate"/>
      </w:r>
      <w:r w:rsidR="00037459">
        <w:t>[5]</w:t>
      </w:r>
      <w:r>
        <w:fldChar w:fldCharType="end"/>
      </w:r>
      <w:r>
        <w:t xml:space="preserve">, we have enumerated the power boosting ratio in all the possible combinations of DMRS port allocations for both SU- and MU-MIMO scenarios. Regardless of SU- and MU-MIMO transmission, there will be only limited power boosting ratio for </w:t>
      </w:r>
      <w:r>
        <w:lastRenderedPageBreak/>
        <w:t>signalling. Specifically, for Type-1 DMR</w:t>
      </w:r>
      <w:r w:rsidR="00077B3E">
        <w:t>S, the power boosting ratio is limited within 2 possible values</w:t>
      </w:r>
      <w:r>
        <w:t xml:space="preserve"> 0 and -3 dB</w:t>
      </w:r>
      <w:r w:rsidR="002E7464">
        <w:t xml:space="preserve"> (1bit)</w:t>
      </w:r>
      <w:r w:rsidR="00077B3E">
        <w:t>. On the other hand, for Type-2 DMRS, the power boosting ratio is limited within 3 possible values 0, -3, -4.77 dB</w:t>
      </w:r>
      <w:r w:rsidR="002E7464">
        <w:t xml:space="preserve"> (maximum 2bits)</w:t>
      </w:r>
      <w:r w:rsidR="00077B3E">
        <w:t xml:space="preserve">. </w:t>
      </w:r>
      <w:r>
        <w:t xml:space="preserve"> </w:t>
      </w:r>
      <w:r w:rsidR="002E7464">
        <w:t xml:space="preserve">As discussed in </w:t>
      </w:r>
      <w:r w:rsidR="002E7464">
        <w:fldChar w:fldCharType="begin"/>
      </w:r>
      <w:r w:rsidR="002E7464">
        <w:instrText xml:space="preserve"> REF _Ref498693834 \r \h </w:instrText>
      </w:r>
      <w:r w:rsidR="002E7464">
        <w:fldChar w:fldCharType="separate"/>
      </w:r>
      <w:r w:rsidR="00037459">
        <w:t>[5]</w:t>
      </w:r>
      <w:r w:rsidR="002E7464">
        <w:fldChar w:fldCharType="end"/>
      </w:r>
      <w:r w:rsidR="002E7464">
        <w:t>, the power boosting ratio</w:t>
      </w:r>
      <w:r>
        <w:t xml:space="preserve"> </w:t>
      </w:r>
      <w:r w:rsidR="002E7464">
        <w:t>in both SU- and MU-MIMO transmission will imply the same data allocation in the DMRS symbol. Therefore, for the transparent MU-MIMO transmission, we propose:</w:t>
      </w:r>
    </w:p>
    <w:p w14:paraId="1702D004" w14:textId="6A767D1D" w:rsidR="00362AC6" w:rsidRDefault="002E7464" w:rsidP="00362AC6">
      <w:pPr>
        <w:pStyle w:val="Proposal"/>
      </w:pPr>
      <w:bookmarkStart w:id="140" w:name="_Toc498716660"/>
      <w:r>
        <w:t>The power boosting ratio of DMRS should be dynamically signalled to UEs (or equivalently encode this additional signalling in the port mapping) for transparent MU-MIMO</w:t>
      </w:r>
      <w:bookmarkEnd w:id="140"/>
    </w:p>
    <w:p w14:paraId="7CAFD558" w14:textId="6B26F8CA" w:rsidR="00E33079" w:rsidRPr="00E33079" w:rsidRDefault="00C41ABA" w:rsidP="00B53992">
      <w:pPr>
        <w:pStyle w:val="Heading2"/>
      </w:pPr>
      <w:r>
        <w:t>Power imbalance issue introduced by</w:t>
      </w:r>
      <w:r w:rsidR="00B53992">
        <w:t xml:space="preserve"> T-OCC</w:t>
      </w:r>
    </w:p>
    <w:p w14:paraId="0FD21296" w14:textId="356E8A62" w:rsidR="00DD6D4D" w:rsidRDefault="007922F1" w:rsidP="00184D61">
      <w:pPr>
        <w:pStyle w:val="BodyText"/>
      </w:pPr>
      <w:r>
        <w:t xml:space="preserve">A known problem that was previously discussed regarding time domain OCC is that it will introduce power imbalance across DMRS REs in the time domain. </w:t>
      </w:r>
      <w:r w:rsidR="00DD6D4D">
        <w:t xml:space="preserve">According to the specification TS38.211, the same TD-OCC port assignment occurs across the whole frequency. This will introduce the DMRS symbol imbalance across the TD-OCC length in the worst-case scenario. More specifically, when the precoder weight are the same for every layer in the same antenna, the sum power of DMRS port on the DMRS RE will vary dramatically across DMRS symbols. For instance, the relative peak power of DMRS RE will only distributes in one DMRS symbol, whereas the zero power DMRS REs distributed across the whole frequency for the other DMRS symbol. The total power imbalance is introduced by the same TD-OCC ports assignment in frequency domain. </w:t>
      </w:r>
      <w:r w:rsidR="00677B31">
        <w:t xml:space="preserve">The detailed discussion and solution presentation are put in the company’s paper </w:t>
      </w:r>
      <w:r w:rsidR="00677B31">
        <w:fldChar w:fldCharType="begin"/>
      </w:r>
      <w:r w:rsidR="00677B31">
        <w:instrText xml:space="preserve"> REF _Ref498693834 \r \h </w:instrText>
      </w:r>
      <w:r w:rsidR="00677B31">
        <w:fldChar w:fldCharType="separate"/>
      </w:r>
      <w:r w:rsidR="00037459">
        <w:t>[5]</w:t>
      </w:r>
      <w:r w:rsidR="00677B31">
        <w:fldChar w:fldCharType="end"/>
      </w:r>
      <w:r w:rsidR="00677B31">
        <w:t>.</w:t>
      </w:r>
    </w:p>
    <w:p w14:paraId="4103BBE4" w14:textId="5CC4DDA3" w:rsidR="00DD6D4D" w:rsidRDefault="00DD6D4D" w:rsidP="00184D61">
      <w:pPr>
        <w:pStyle w:val="BodyText"/>
      </w:pPr>
      <w:r>
        <w:t>A straightforward solution of this issue is to shuffle the TD-OCC port assignment in the frequency domain, aiming for an even distribution of the DMRS RE peak power</w:t>
      </w:r>
      <w:r w:rsidR="00677B31">
        <w:t xml:space="preserve"> across all DMRS symbols. Also note that the power imbalance issue also occurs for CSI-RS (since TD-OCC are applied for CSI-RS ports mux), the solution for that will follow the same principle. </w:t>
      </w:r>
      <w:r>
        <w:t xml:space="preserve">  </w:t>
      </w:r>
    </w:p>
    <w:p w14:paraId="75E318A6" w14:textId="4657029F" w:rsidR="00DD6D4D" w:rsidRDefault="00677B31" w:rsidP="00184D61">
      <w:pPr>
        <w:pStyle w:val="Proposal"/>
      </w:pPr>
      <w:bookmarkStart w:id="141" w:name="_Toc498716661"/>
      <w:r>
        <w:t>Specification based solutions, i.e., shuffling the OCC order in paired PRBs, should be considered to resolve the power imbalance issue in time domain.</w:t>
      </w:r>
      <w:bookmarkEnd w:id="141"/>
      <w:r>
        <w:t xml:space="preserve"> </w:t>
      </w:r>
    </w:p>
    <w:p w14:paraId="52E627AF" w14:textId="0A61480A" w:rsidR="002611E7" w:rsidRDefault="00C01F33" w:rsidP="00E5689D">
      <w:pPr>
        <w:pStyle w:val="Heading1"/>
      </w:pPr>
      <w:r w:rsidRPr="00CE0424">
        <w:t>Conclusion</w:t>
      </w:r>
      <w:r w:rsidR="00AE2FEB">
        <w:t>s</w:t>
      </w:r>
    </w:p>
    <w:p w14:paraId="2F6224F1" w14:textId="406DA6D4" w:rsidR="00E87DF5" w:rsidRDefault="002611E7" w:rsidP="00E5689D">
      <w:pPr>
        <w:pStyle w:val="BodyText"/>
      </w:pPr>
      <w:r>
        <w:t xml:space="preserve">We make the following </w:t>
      </w:r>
      <w:r w:rsidR="00743D20">
        <w:t>proposals</w:t>
      </w:r>
      <w:r>
        <w:t>:</w:t>
      </w:r>
    </w:p>
    <w:p w14:paraId="39A3C5D4" w14:textId="77777777" w:rsidR="00037459" w:rsidRPr="00037459" w:rsidRDefault="00037459">
      <w:pPr>
        <w:pStyle w:val="TOC1"/>
        <w:rPr>
          <w:rFonts w:asciiTheme="minorHAnsi" w:eastAsiaTheme="minorEastAsia" w:hAnsiTheme="minorHAnsi" w:cstheme="minorBidi"/>
          <w:b w:val="0"/>
          <w:sz w:val="22"/>
          <w:lang w:eastAsia="sv-SE"/>
        </w:rPr>
      </w:pPr>
      <w:r>
        <w:lastRenderedPageBreak/>
        <w:fldChar w:fldCharType="begin"/>
      </w:r>
      <w:r>
        <w:instrText xml:space="preserve"> TOC \n \t "Proposal,1" </w:instrText>
      </w:r>
      <w:r>
        <w:fldChar w:fldCharType="separate"/>
      </w:r>
      <w:r>
        <w:t>Proposal 1</w:t>
      </w:r>
      <w:r w:rsidRPr="00037459">
        <w:rPr>
          <w:rFonts w:asciiTheme="minorHAnsi" w:eastAsiaTheme="minorEastAsia" w:hAnsiTheme="minorHAnsi" w:cstheme="minorBidi"/>
          <w:b w:val="0"/>
          <w:sz w:val="22"/>
          <w:lang w:eastAsia="sv-SE"/>
        </w:rPr>
        <w:tab/>
      </w:r>
      <w:r>
        <w:t>Confirm WA for default pattern for broadcast/multicast PDSCH using the front-load DMRS Configuration 1</w:t>
      </w:r>
    </w:p>
    <w:p w14:paraId="5AE91DCC" w14:textId="77777777" w:rsidR="00037459" w:rsidRPr="00037459" w:rsidRDefault="00037459">
      <w:pPr>
        <w:pStyle w:val="TOC1"/>
        <w:rPr>
          <w:rFonts w:asciiTheme="minorHAnsi" w:eastAsiaTheme="minorEastAsia" w:hAnsiTheme="minorHAnsi" w:cstheme="minorBidi"/>
          <w:b w:val="0"/>
          <w:sz w:val="22"/>
          <w:lang w:eastAsia="sv-SE"/>
        </w:rPr>
      </w:pPr>
      <w:r>
        <w:t>Proposal 2</w:t>
      </w:r>
      <w:r w:rsidRPr="00037459">
        <w:rPr>
          <w:rFonts w:asciiTheme="minorHAnsi" w:eastAsiaTheme="minorEastAsia" w:hAnsiTheme="minorHAnsi" w:cstheme="minorBidi"/>
          <w:b w:val="0"/>
          <w:sz w:val="22"/>
          <w:lang w:eastAsia="sv-SE"/>
        </w:rPr>
        <w:tab/>
      </w:r>
      <w:r>
        <w:t>Use the same default DMRS configuration for all PDSCH receptions until configured otherwise by RRC</w:t>
      </w:r>
    </w:p>
    <w:p w14:paraId="3C28F566" w14:textId="77777777" w:rsidR="00037459" w:rsidRPr="00037459" w:rsidRDefault="00037459">
      <w:pPr>
        <w:pStyle w:val="TOC1"/>
        <w:rPr>
          <w:rFonts w:asciiTheme="minorHAnsi" w:eastAsiaTheme="minorEastAsia" w:hAnsiTheme="minorHAnsi" w:cstheme="minorBidi"/>
          <w:b w:val="0"/>
          <w:sz w:val="22"/>
          <w:lang w:eastAsia="sv-SE"/>
        </w:rPr>
      </w:pPr>
      <w:r>
        <w:t>Proposal 3</w:t>
      </w:r>
      <w:r w:rsidRPr="00037459">
        <w:rPr>
          <w:rFonts w:asciiTheme="minorHAnsi" w:eastAsiaTheme="minorEastAsia" w:hAnsiTheme="minorHAnsi" w:cstheme="minorBidi"/>
          <w:b w:val="0"/>
          <w:sz w:val="22"/>
          <w:lang w:eastAsia="sv-SE"/>
        </w:rPr>
        <w:tab/>
      </w:r>
      <w:r>
        <w:t>The default pattern use single front loaded with two additional DMRS symbols (1+1+1)</w:t>
      </w:r>
    </w:p>
    <w:p w14:paraId="0A5B1F2D" w14:textId="77777777" w:rsidR="00037459" w:rsidRPr="00037459" w:rsidRDefault="00037459">
      <w:pPr>
        <w:pStyle w:val="TOC1"/>
        <w:rPr>
          <w:rFonts w:asciiTheme="minorHAnsi" w:eastAsiaTheme="minorEastAsia" w:hAnsiTheme="minorHAnsi" w:cstheme="minorBidi"/>
          <w:b w:val="0"/>
          <w:sz w:val="22"/>
          <w:lang w:eastAsia="sv-SE"/>
        </w:rPr>
      </w:pPr>
      <w:r>
        <w:t>Proposal 4</w:t>
      </w:r>
      <w:r w:rsidRPr="00037459">
        <w:rPr>
          <w:rFonts w:asciiTheme="minorHAnsi" w:eastAsiaTheme="minorEastAsia" w:hAnsiTheme="minorHAnsi" w:cstheme="minorBidi"/>
          <w:b w:val="0"/>
          <w:sz w:val="22"/>
          <w:lang w:eastAsia="sv-SE"/>
        </w:rPr>
        <w:tab/>
      </w:r>
      <w:r>
        <w:t>The default transmission use DMRS port 0 using SU-MIMO and DMRS power boosting enabled, i.e. PDSCH is not mapped as FDM with DMRS and PDSCH to DMRS EPRE is -3 dB</w:t>
      </w:r>
    </w:p>
    <w:p w14:paraId="64C7C202" w14:textId="77777777" w:rsidR="00037459" w:rsidRPr="00037459" w:rsidRDefault="00037459">
      <w:pPr>
        <w:pStyle w:val="TOC1"/>
        <w:rPr>
          <w:rFonts w:asciiTheme="minorHAnsi" w:eastAsiaTheme="minorEastAsia" w:hAnsiTheme="minorHAnsi" w:cstheme="minorBidi"/>
          <w:b w:val="0"/>
          <w:sz w:val="22"/>
          <w:lang w:eastAsia="sv-SE"/>
        </w:rPr>
      </w:pPr>
      <w:r w:rsidRPr="004760B7">
        <w:t>Proposal 5</w:t>
      </w:r>
      <w:r w:rsidRPr="00037459">
        <w:rPr>
          <w:rFonts w:asciiTheme="minorHAnsi" w:eastAsiaTheme="minorEastAsia" w:hAnsiTheme="minorHAnsi" w:cstheme="minorBidi"/>
          <w:b w:val="0"/>
          <w:sz w:val="22"/>
          <w:lang w:eastAsia="sv-SE"/>
        </w:rPr>
        <w:tab/>
      </w:r>
      <w:r w:rsidRPr="004760B7">
        <w:t xml:space="preserve">Supported DMRS pattern(s) for slots with different PDSCH duration are those depicted in </w:t>
      </w:r>
      <w:r>
        <w:t>Figure 1</w:t>
      </w:r>
      <w:r w:rsidRPr="004760B7">
        <w:t xml:space="preserve">. </w:t>
      </w:r>
      <w:r w:rsidRPr="004760B7">
        <w:rPr>
          <w:iCs/>
          <w:lang w:eastAsia="ko-KR"/>
        </w:rPr>
        <w:t>Configurations with first DMRS in 3</w:t>
      </w:r>
      <w:r w:rsidRPr="004760B7">
        <w:rPr>
          <w:iCs/>
          <w:vertAlign w:val="superscript"/>
          <w:lang w:eastAsia="ko-KR"/>
        </w:rPr>
        <w:t>rd</w:t>
      </w:r>
      <w:r w:rsidRPr="004760B7">
        <w:rPr>
          <w:iCs/>
          <w:lang w:eastAsia="ko-KR"/>
        </w:rPr>
        <w:t xml:space="preserve"> symbol use the same locations of additional DMRS when applicable.</w:t>
      </w:r>
    </w:p>
    <w:p w14:paraId="5E6ABD90" w14:textId="77777777" w:rsidR="00037459" w:rsidRPr="00037459" w:rsidRDefault="00037459">
      <w:pPr>
        <w:pStyle w:val="TOC1"/>
        <w:rPr>
          <w:rFonts w:asciiTheme="minorHAnsi" w:eastAsiaTheme="minorEastAsia" w:hAnsiTheme="minorHAnsi" w:cstheme="minorBidi"/>
          <w:b w:val="0"/>
          <w:sz w:val="22"/>
          <w:lang w:eastAsia="sv-SE"/>
        </w:rPr>
      </w:pPr>
      <w:r>
        <w:rPr>
          <w:lang w:eastAsia="ja-JP"/>
        </w:rPr>
        <w:t>Proposal 1</w:t>
      </w:r>
      <w:r w:rsidRPr="00037459">
        <w:rPr>
          <w:rFonts w:asciiTheme="minorHAnsi" w:eastAsiaTheme="minorEastAsia" w:hAnsiTheme="minorHAnsi" w:cstheme="minorBidi"/>
          <w:b w:val="0"/>
          <w:sz w:val="22"/>
          <w:lang w:eastAsia="sv-SE"/>
        </w:rPr>
        <w:tab/>
      </w:r>
      <w:r>
        <w:rPr>
          <w:lang w:eastAsia="ja-JP"/>
        </w:rPr>
        <w:t>For PDSCH/PUSCH mapping type B, both DMRS config type 1 and 2 may be configured and independent configurations for UL and DL.</w:t>
      </w:r>
    </w:p>
    <w:p w14:paraId="3FF71A4D" w14:textId="77777777" w:rsidR="00037459" w:rsidRPr="00037459" w:rsidRDefault="00037459">
      <w:pPr>
        <w:pStyle w:val="TOC1"/>
        <w:rPr>
          <w:rFonts w:asciiTheme="minorHAnsi" w:eastAsiaTheme="minorEastAsia" w:hAnsiTheme="minorHAnsi" w:cstheme="minorBidi"/>
          <w:b w:val="0"/>
          <w:sz w:val="22"/>
          <w:lang w:eastAsia="sv-SE"/>
        </w:rPr>
      </w:pPr>
      <w:r>
        <w:rPr>
          <w:lang w:eastAsia="ja-JP"/>
        </w:rPr>
        <w:t>Proposal 2</w:t>
      </w:r>
      <w:r w:rsidRPr="00037459">
        <w:rPr>
          <w:rFonts w:asciiTheme="minorHAnsi" w:eastAsiaTheme="minorEastAsia" w:hAnsiTheme="minorHAnsi" w:cstheme="minorBidi"/>
          <w:b w:val="0"/>
          <w:sz w:val="22"/>
          <w:lang w:eastAsia="sv-SE"/>
        </w:rPr>
        <w:tab/>
      </w:r>
      <w:r>
        <w:rPr>
          <w:lang w:eastAsia="ja-JP"/>
        </w:rPr>
        <w:t>For PDSCH/PUSCH mapping type B</w:t>
      </w:r>
      <w:r w:rsidRPr="004760B7">
        <w:rPr>
          <w:iCs/>
          <w:lang w:eastAsia="ja-JP"/>
        </w:rPr>
        <w:t>, the number of additional DMRS when DL-DMRS-max-len=2 and the UE is dynamically scheduled with 1-symbol for front-load DMRS is one.</w:t>
      </w:r>
    </w:p>
    <w:p w14:paraId="05B8BF69" w14:textId="77777777" w:rsidR="00037459" w:rsidRPr="00037459" w:rsidRDefault="00037459">
      <w:pPr>
        <w:pStyle w:val="TOC1"/>
        <w:rPr>
          <w:rFonts w:asciiTheme="minorHAnsi" w:eastAsiaTheme="minorEastAsia" w:hAnsiTheme="minorHAnsi" w:cstheme="minorBidi"/>
          <w:b w:val="0"/>
          <w:sz w:val="22"/>
          <w:lang w:eastAsia="sv-SE"/>
        </w:rPr>
      </w:pPr>
      <w:r>
        <w:rPr>
          <w:lang w:eastAsia="ja-JP"/>
        </w:rPr>
        <w:t>Proposal 3</w:t>
      </w:r>
      <w:r w:rsidRPr="00037459">
        <w:rPr>
          <w:rFonts w:asciiTheme="minorHAnsi" w:eastAsiaTheme="minorEastAsia" w:hAnsiTheme="minorHAnsi" w:cstheme="minorBidi"/>
          <w:b w:val="0"/>
          <w:sz w:val="22"/>
          <w:lang w:eastAsia="sv-SE"/>
        </w:rPr>
        <w:tab/>
      </w:r>
      <w:r>
        <w:rPr>
          <w:lang w:eastAsia="ja-JP"/>
        </w:rPr>
        <w:t>For PDSCH/PUSCH mapping type B</w:t>
      </w:r>
      <w:r w:rsidRPr="004760B7">
        <w:rPr>
          <w:iCs/>
          <w:lang w:eastAsia="ja-JP"/>
        </w:rPr>
        <w:t>, DL-DMRS-max-len is configured independent for UL and DL</w:t>
      </w:r>
    </w:p>
    <w:p w14:paraId="1B93E4E8" w14:textId="77777777" w:rsidR="00037459" w:rsidRPr="00037459" w:rsidRDefault="00037459">
      <w:pPr>
        <w:pStyle w:val="TOC1"/>
        <w:rPr>
          <w:rFonts w:asciiTheme="minorHAnsi" w:eastAsiaTheme="minorEastAsia" w:hAnsiTheme="minorHAnsi" w:cstheme="minorBidi"/>
          <w:b w:val="0"/>
          <w:sz w:val="22"/>
          <w:lang w:eastAsia="sv-SE"/>
        </w:rPr>
      </w:pPr>
      <w:r>
        <w:t>Proposal 4</w:t>
      </w:r>
      <w:r w:rsidRPr="00037459">
        <w:rPr>
          <w:rFonts w:asciiTheme="minorHAnsi" w:eastAsiaTheme="minorEastAsia" w:hAnsiTheme="minorHAnsi" w:cstheme="minorBidi"/>
          <w:b w:val="0"/>
          <w:sz w:val="22"/>
          <w:lang w:eastAsia="sv-SE"/>
        </w:rPr>
        <w:tab/>
      </w:r>
      <w:r>
        <w:t>The default PUSCH DMRS use configuration type 1, DMRS port 0 and two additional DMRS symbols. PUSCH and DMRS are not FDM in the DMRS symbols so PUSCH to DMRS EPRE ratio is -3 dB.</w:t>
      </w:r>
    </w:p>
    <w:p w14:paraId="13C14FE2" w14:textId="77777777" w:rsidR="00037459" w:rsidRPr="00037459" w:rsidRDefault="00037459">
      <w:pPr>
        <w:pStyle w:val="TOC1"/>
        <w:rPr>
          <w:rFonts w:asciiTheme="minorHAnsi" w:eastAsiaTheme="minorEastAsia" w:hAnsiTheme="minorHAnsi" w:cstheme="minorBidi"/>
          <w:b w:val="0"/>
          <w:sz w:val="22"/>
          <w:lang w:eastAsia="sv-SE"/>
        </w:rPr>
      </w:pPr>
      <w:r>
        <w:t>Proposal 5</w:t>
      </w:r>
      <w:r w:rsidRPr="00037459">
        <w:rPr>
          <w:rFonts w:asciiTheme="minorHAnsi" w:eastAsiaTheme="minorEastAsia" w:hAnsiTheme="minorHAnsi" w:cstheme="minorBidi"/>
          <w:b w:val="0"/>
          <w:sz w:val="22"/>
          <w:lang w:eastAsia="sv-SE"/>
        </w:rPr>
        <w:tab/>
      </w:r>
      <w:r>
        <w:t>For PUSCH in a slot with UL only transmissions where PUSCH starts at the first OFDM symbol, then the first DMRS symbol is at the 3</w:t>
      </w:r>
      <w:r w:rsidRPr="004760B7">
        <w:rPr>
          <w:vertAlign w:val="superscript"/>
        </w:rPr>
        <w:t>rd</w:t>
      </w:r>
      <w:r>
        <w:t xml:space="preserve">  or 4</w:t>
      </w:r>
      <w:r w:rsidRPr="004760B7">
        <w:rPr>
          <w:vertAlign w:val="superscript"/>
        </w:rPr>
        <w:t>th</w:t>
      </w:r>
      <w:r>
        <w:t xml:space="preserve"> symbol depending on signalling in PBCH, and the same patterns and slot format dependence (i.e. last PUSCH symbol) as DL DMRS with first DMRS in 3</w:t>
      </w:r>
      <w:r w:rsidRPr="004760B7">
        <w:rPr>
          <w:vertAlign w:val="superscript"/>
        </w:rPr>
        <w:t>rd</w:t>
      </w:r>
      <w:r>
        <w:t xml:space="preserve"> symbol is used for UL DMRS (including 1+0, 2+0, 2+2, 1+1+1 and 1+1+1+1 patterns)</w:t>
      </w:r>
    </w:p>
    <w:p w14:paraId="7A223C08" w14:textId="77777777" w:rsidR="00037459" w:rsidRPr="00037459" w:rsidRDefault="00037459">
      <w:pPr>
        <w:pStyle w:val="TOC1"/>
        <w:rPr>
          <w:rFonts w:asciiTheme="minorHAnsi" w:eastAsiaTheme="minorEastAsia" w:hAnsiTheme="minorHAnsi" w:cstheme="minorBidi"/>
          <w:b w:val="0"/>
          <w:sz w:val="22"/>
          <w:lang w:eastAsia="sv-SE"/>
        </w:rPr>
      </w:pPr>
      <w:r>
        <w:t>Proposal 6</w:t>
      </w:r>
      <w:r w:rsidRPr="00037459">
        <w:rPr>
          <w:rFonts w:asciiTheme="minorHAnsi" w:eastAsiaTheme="minorEastAsia" w:hAnsiTheme="minorHAnsi" w:cstheme="minorBidi"/>
          <w:b w:val="0"/>
          <w:sz w:val="22"/>
          <w:lang w:eastAsia="sv-SE"/>
        </w:rPr>
        <w:tab/>
      </w:r>
      <w:r>
        <w:t>In mixed DL/UL slots where the first UL symbol contains the first front loaded DMRS symbol only TDM between DMRS and PUSCH is supported.</w:t>
      </w:r>
    </w:p>
    <w:p w14:paraId="0E66022F" w14:textId="77777777" w:rsidR="00037459" w:rsidRPr="00037459" w:rsidRDefault="00037459">
      <w:pPr>
        <w:pStyle w:val="TOC1"/>
        <w:rPr>
          <w:rFonts w:asciiTheme="minorHAnsi" w:eastAsiaTheme="minorEastAsia" w:hAnsiTheme="minorHAnsi" w:cstheme="minorBidi"/>
          <w:b w:val="0"/>
          <w:sz w:val="22"/>
          <w:lang w:eastAsia="sv-SE"/>
        </w:rPr>
      </w:pPr>
      <w:r>
        <w:t>Proposal 7</w:t>
      </w:r>
      <w:r w:rsidRPr="00037459">
        <w:rPr>
          <w:rFonts w:asciiTheme="minorHAnsi" w:eastAsiaTheme="minorEastAsia" w:hAnsiTheme="minorHAnsi" w:cstheme="minorBidi"/>
          <w:b w:val="0"/>
          <w:sz w:val="22"/>
          <w:lang w:eastAsia="sv-SE"/>
        </w:rPr>
        <w:tab/>
      </w:r>
      <w:r>
        <w:t>For mixed DL/UL slots, the single additional DMRS can be placed in symbol 11,9,7,5 relative to the front loaded DMRS symbol and there is at least one and at most two PUSCH symbols after the additional DMRS except for PUSCH duration of 5 symbols or shorter.  See Figure 3 for patterns.</w:t>
      </w:r>
    </w:p>
    <w:p w14:paraId="7A6E818A" w14:textId="77777777" w:rsidR="00037459" w:rsidRPr="00037459" w:rsidRDefault="00037459">
      <w:pPr>
        <w:pStyle w:val="TOC1"/>
        <w:rPr>
          <w:rFonts w:asciiTheme="minorHAnsi" w:eastAsiaTheme="minorEastAsia" w:hAnsiTheme="minorHAnsi" w:cstheme="minorBidi"/>
          <w:b w:val="0"/>
          <w:sz w:val="22"/>
          <w:lang w:eastAsia="sv-SE"/>
        </w:rPr>
      </w:pPr>
      <w:r>
        <w:t>Proposal 8</w:t>
      </w:r>
      <w:r w:rsidRPr="00037459">
        <w:rPr>
          <w:rFonts w:asciiTheme="minorHAnsi" w:eastAsiaTheme="minorEastAsia" w:hAnsiTheme="minorHAnsi" w:cstheme="minorBidi"/>
          <w:b w:val="0"/>
          <w:sz w:val="22"/>
          <w:lang w:eastAsia="sv-SE"/>
        </w:rPr>
        <w:tab/>
      </w:r>
      <w:r>
        <w:t>In case 3 symbols is used for PUSCH in slots with mixed UL and DL, the DMRS is mapped equally spaced in between the 1+1 patterns for 2 symbols.</w:t>
      </w:r>
    </w:p>
    <w:p w14:paraId="7C6C7B5F" w14:textId="77777777" w:rsidR="00037459" w:rsidRPr="00037459" w:rsidRDefault="00037459">
      <w:pPr>
        <w:pStyle w:val="TOC1"/>
        <w:rPr>
          <w:rFonts w:asciiTheme="minorHAnsi" w:eastAsiaTheme="minorEastAsia" w:hAnsiTheme="minorHAnsi" w:cstheme="minorBidi"/>
          <w:b w:val="0"/>
          <w:sz w:val="22"/>
          <w:lang w:eastAsia="sv-SE"/>
        </w:rPr>
      </w:pPr>
      <w:r>
        <w:t>Proposal 9</w:t>
      </w:r>
      <w:r w:rsidRPr="00037459">
        <w:rPr>
          <w:rFonts w:asciiTheme="minorHAnsi" w:eastAsiaTheme="minorEastAsia" w:hAnsiTheme="minorHAnsi" w:cstheme="minorBidi"/>
          <w:b w:val="0"/>
          <w:sz w:val="22"/>
          <w:lang w:eastAsia="sv-SE"/>
        </w:rPr>
        <w:tab/>
      </w:r>
      <w:r>
        <w:t>In case 4 symbols is used for PUSCH in slots with mixed UL and DL, the DMRS is mapped equally spaced with distance 3 symbols.</w:t>
      </w:r>
    </w:p>
    <w:p w14:paraId="68C5EF9C" w14:textId="77777777" w:rsidR="00037459" w:rsidRPr="00037459" w:rsidRDefault="00037459">
      <w:pPr>
        <w:pStyle w:val="TOC1"/>
        <w:rPr>
          <w:rFonts w:asciiTheme="minorHAnsi" w:eastAsiaTheme="minorEastAsia" w:hAnsiTheme="minorHAnsi" w:cstheme="minorBidi"/>
          <w:b w:val="0"/>
          <w:sz w:val="22"/>
          <w:lang w:eastAsia="sv-SE"/>
        </w:rPr>
      </w:pPr>
      <w:r w:rsidRPr="004760B7">
        <w:rPr>
          <w:i/>
          <w:lang w:eastAsia="ja-JP"/>
        </w:rPr>
        <w:t>Proposal 10</w:t>
      </w:r>
      <w:r w:rsidRPr="00037459">
        <w:rPr>
          <w:rFonts w:asciiTheme="minorHAnsi" w:eastAsiaTheme="minorEastAsia" w:hAnsiTheme="minorHAnsi" w:cstheme="minorBidi"/>
          <w:b w:val="0"/>
          <w:sz w:val="22"/>
          <w:lang w:eastAsia="sv-SE"/>
        </w:rPr>
        <w:tab/>
      </w:r>
      <w:r>
        <w:rPr>
          <w:lang w:eastAsia="ja-JP"/>
        </w:rPr>
        <w:t>Working assumption for PUSCH DMRS configuration of additional DMRS by UE-specific higher layer signaling is rejected</w:t>
      </w:r>
    </w:p>
    <w:p w14:paraId="0C861681" w14:textId="77777777" w:rsidR="00037459" w:rsidRPr="00037459" w:rsidRDefault="00037459">
      <w:pPr>
        <w:pStyle w:val="TOC1"/>
        <w:rPr>
          <w:rFonts w:asciiTheme="minorHAnsi" w:eastAsiaTheme="minorEastAsia" w:hAnsiTheme="minorHAnsi" w:cstheme="minorBidi"/>
          <w:b w:val="0"/>
          <w:sz w:val="22"/>
          <w:lang w:eastAsia="sv-SE"/>
        </w:rPr>
      </w:pPr>
      <w:r>
        <w:rPr>
          <w:lang w:eastAsia="ja-JP"/>
        </w:rPr>
        <w:t>Proposal 11</w:t>
      </w:r>
      <w:r w:rsidRPr="00037459">
        <w:rPr>
          <w:rFonts w:asciiTheme="minorHAnsi" w:eastAsiaTheme="minorEastAsia" w:hAnsiTheme="minorHAnsi" w:cstheme="minorBidi"/>
          <w:b w:val="0"/>
          <w:sz w:val="22"/>
          <w:lang w:eastAsia="sv-SE"/>
        </w:rPr>
        <w:tab/>
      </w:r>
      <w:r>
        <w:rPr>
          <w:lang w:eastAsia="ja-JP"/>
        </w:rPr>
        <w:t>RAN1 should select one of the following options to assist CFO estimation in UL with front-loaded DMRS:</w:t>
      </w:r>
    </w:p>
    <w:p w14:paraId="0F1A1CBF" w14:textId="77777777" w:rsidR="00037459" w:rsidRPr="00037459" w:rsidRDefault="00037459">
      <w:pPr>
        <w:pStyle w:val="TOC1"/>
        <w:rPr>
          <w:rFonts w:asciiTheme="minorHAnsi" w:eastAsiaTheme="minorEastAsia" w:hAnsiTheme="minorHAnsi" w:cstheme="minorBidi"/>
          <w:b w:val="0"/>
          <w:sz w:val="22"/>
          <w:lang w:eastAsia="sv-SE"/>
        </w:rPr>
      </w:pPr>
      <w:r w:rsidRPr="004760B7">
        <w:rPr>
          <w:rFonts w:ascii="Symbol" w:hAnsi="Symbol"/>
          <w:b w:val="0"/>
          <w:lang w:eastAsia="ja-JP"/>
        </w:rPr>
        <w:t></w:t>
      </w:r>
      <w:r w:rsidRPr="00037459">
        <w:rPr>
          <w:rFonts w:asciiTheme="minorHAnsi" w:eastAsiaTheme="minorEastAsia" w:hAnsiTheme="minorHAnsi" w:cstheme="minorBidi"/>
          <w:b w:val="0"/>
          <w:sz w:val="22"/>
          <w:lang w:eastAsia="sv-SE"/>
        </w:rPr>
        <w:tab/>
      </w:r>
      <w:r>
        <w:rPr>
          <w:lang w:eastAsia="ja-JP"/>
        </w:rPr>
        <w:t>A UE can be configured with additional DMRS which presence can be dynamically indicated</w:t>
      </w:r>
    </w:p>
    <w:p w14:paraId="77CD829B" w14:textId="77777777" w:rsidR="00037459" w:rsidRPr="00037459" w:rsidRDefault="00037459">
      <w:pPr>
        <w:pStyle w:val="TOC1"/>
        <w:rPr>
          <w:rFonts w:asciiTheme="minorHAnsi" w:eastAsiaTheme="minorEastAsia" w:hAnsiTheme="minorHAnsi" w:cstheme="minorBidi"/>
          <w:b w:val="0"/>
          <w:sz w:val="22"/>
          <w:lang w:eastAsia="sv-SE"/>
        </w:rPr>
      </w:pPr>
      <w:r w:rsidRPr="004760B7">
        <w:rPr>
          <w:rFonts w:ascii="Symbol" w:hAnsi="Symbol"/>
          <w:b w:val="0"/>
          <w:lang w:eastAsia="ja-JP"/>
        </w:rPr>
        <w:t></w:t>
      </w:r>
      <w:r w:rsidRPr="00037459">
        <w:rPr>
          <w:rFonts w:asciiTheme="minorHAnsi" w:eastAsiaTheme="minorEastAsia" w:hAnsiTheme="minorHAnsi" w:cstheme="minorBidi"/>
          <w:b w:val="0"/>
          <w:sz w:val="22"/>
          <w:lang w:eastAsia="sv-SE"/>
        </w:rPr>
        <w:tab/>
      </w:r>
      <w:r>
        <w:rPr>
          <w:lang w:eastAsia="ja-JP"/>
        </w:rPr>
        <w:t>A UE can be configured with a PTRS pattern that does not depend on MCS and its presence can be dynamically indicated</w:t>
      </w:r>
    </w:p>
    <w:p w14:paraId="22186F7E" w14:textId="77777777" w:rsidR="00037459" w:rsidRPr="00037459" w:rsidRDefault="00037459">
      <w:pPr>
        <w:pStyle w:val="TOC1"/>
        <w:rPr>
          <w:rFonts w:asciiTheme="minorHAnsi" w:eastAsiaTheme="minorEastAsia" w:hAnsiTheme="minorHAnsi" w:cstheme="minorBidi"/>
          <w:b w:val="0"/>
          <w:sz w:val="22"/>
          <w:lang w:eastAsia="sv-SE"/>
        </w:rPr>
      </w:pPr>
      <w:r w:rsidRPr="004760B7">
        <w:rPr>
          <w:rFonts w:ascii="Symbol" w:hAnsi="Symbol"/>
          <w:b w:val="0"/>
          <w:lang w:eastAsia="ja-JP"/>
        </w:rPr>
        <w:t></w:t>
      </w:r>
      <w:r w:rsidRPr="00037459">
        <w:rPr>
          <w:rFonts w:asciiTheme="minorHAnsi" w:eastAsiaTheme="minorEastAsia" w:hAnsiTheme="minorHAnsi" w:cstheme="minorBidi"/>
          <w:b w:val="0"/>
          <w:sz w:val="22"/>
          <w:lang w:eastAsia="sv-SE"/>
        </w:rPr>
        <w:tab/>
      </w:r>
      <w:r>
        <w:rPr>
          <w:lang w:eastAsia="ja-JP"/>
        </w:rPr>
        <w:t>A UE can be configured with a PTRS pattern that does not depend on MCS and is always transmitted in conjunction with PUSCH</w:t>
      </w:r>
    </w:p>
    <w:p w14:paraId="1E79FFEE" w14:textId="77777777" w:rsidR="00037459" w:rsidRPr="00037459" w:rsidRDefault="00037459">
      <w:pPr>
        <w:pStyle w:val="TOC1"/>
        <w:rPr>
          <w:rFonts w:asciiTheme="minorHAnsi" w:eastAsiaTheme="minorEastAsia" w:hAnsiTheme="minorHAnsi" w:cstheme="minorBidi"/>
          <w:b w:val="0"/>
          <w:sz w:val="22"/>
          <w:lang w:eastAsia="sv-SE"/>
        </w:rPr>
      </w:pPr>
      <w:r w:rsidRPr="004760B7">
        <w:lastRenderedPageBreak/>
        <w:t>Proposal 12</w:t>
      </w:r>
      <w:r w:rsidRPr="00037459">
        <w:rPr>
          <w:rFonts w:asciiTheme="minorHAnsi" w:eastAsiaTheme="minorEastAsia" w:hAnsiTheme="minorHAnsi" w:cstheme="minorBidi"/>
          <w:b w:val="0"/>
          <w:sz w:val="22"/>
          <w:lang w:eastAsia="sv-SE"/>
        </w:rPr>
        <w:tab/>
      </w:r>
      <w:r w:rsidRPr="004760B7">
        <w:t>Support at most eight co-scheduled UEs in MU-MIMO</w:t>
      </w:r>
    </w:p>
    <w:p w14:paraId="495C080E" w14:textId="77777777" w:rsidR="00037459" w:rsidRPr="00037459" w:rsidRDefault="00037459">
      <w:pPr>
        <w:pStyle w:val="TOC1"/>
        <w:rPr>
          <w:rFonts w:asciiTheme="minorHAnsi" w:eastAsiaTheme="minorEastAsia" w:hAnsiTheme="minorHAnsi" w:cstheme="minorBidi"/>
          <w:b w:val="0"/>
          <w:sz w:val="22"/>
          <w:lang w:eastAsia="sv-SE"/>
        </w:rPr>
      </w:pPr>
      <w:r w:rsidRPr="004760B7">
        <w:t>Proposal 13</w:t>
      </w:r>
      <w:r w:rsidRPr="00037459">
        <w:rPr>
          <w:rFonts w:asciiTheme="minorHAnsi" w:eastAsiaTheme="minorEastAsia" w:hAnsiTheme="minorHAnsi" w:cstheme="minorBidi"/>
          <w:b w:val="0"/>
          <w:sz w:val="22"/>
          <w:lang w:eastAsia="sv-SE"/>
        </w:rPr>
        <w:tab/>
      </w:r>
      <w:r w:rsidRPr="004760B7">
        <w:t>The length-31 Gold sequence generator (same as LTE) is used to generate PRBS based DM-RS sequences in both DL and UL</w:t>
      </w:r>
    </w:p>
    <w:p w14:paraId="6749F23C" w14:textId="77777777" w:rsidR="00037459" w:rsidRPr="007252A2" w:rsidRDefault="00037459" w:rsidP="00037459">
      <w:pPr>
        <w:pStyle w:val="Proposal"/>
        <w:numPr>
          <w:ilvl w:val="0"/>
          <w:numId w:val="0"/>
        </w:numPr>
        <w:rPr>
          <w:rStyle w:val="Strong"/>
          <w:b/>
          <w:szCs w:val="24"/>
        </w:rPr>
      </w:pPr>
      <w:r w:rsidRPr="004760B7">
        <w:rPr>
          <w:bCs w:val="0"/>
          <w:noProof/>
        </w:rPr>
        <w:t>Proposal 14</w:t>
      </w:r>
      <w:r w:rsidRPr="00037459">
        <w:rPr>
          <w:rFonts w:asciiTheme="minorHAnsi" w:eastAsiaTheme="minorEastAsia" w:hAnsiTheme="minorHAnsi" w:cstheme="minorBidi"/>
          <w:b w:val="0"/>
          <w:noProof/>
          <w:sz w:val="22"/>
          <w:lang w:val="en-US" w:eastAsia="sv-SE"/>
        </w:rPr>
        <w:tab/>
      </w:r>
      <w:r w:rsidRPr="007252A2">
        <w:rPr>
          <w:rStyle w:val="Strong"/>
          <w:b/>
          <w:szCs w:val="24"/>
        </w:rPr>
        <w:t>Initialization of the length-31 Gold sequence generator is for DM-RS defined by</w:t>
      </w:r>
    </w:p>
    <w:p w14:paraId="1ADEC66F" w14:textId="77777777" w:rsidR="00037459" w:rsidRPr="007252A2" w:rsidRDefault="00037459" w:rsidP="00037459">
      <w:pPr>
        <w:pStyle w:val="Proposal"/>
        <w:numPr>
          <w:ilvl w:val="0"/>
          <w:numId w:val="0"/>
        </w:numPr>
        <w:ind w:left="1701"/>
      </w:pPr>
      <w:r w:rsidRPr="007252A2">
        <w:rPr>
          <w:rStyle w:val="Strong"/>
          <w:b/>
          <w:szCs w:val="24"/>
        </w:rPr>
        <w:tab/>
      </w:r>
      <w:r w:rsidRPr="007252A2">
        <w:rPr>
          <w:rStyle w:val="Strong"/>
          <w:b/>
          <w:szCs w:val="24"/>
        </w:rPr>
        <w:tab/>
      </w:r>
      <w:r w:rsidRPr="007252A2">
        <w:rPr>
          <w:rStyle w:val="Strong"/>
          <w:b/>
          <w:szCs w:val="24"/>
        </w:rPr>
        <w:tab/>
      </w:r>
      <w:r w:rsidRPr="007252A2">
        <w:rPr>
          <w:rStyle w:val="Strong"/>
          <w:b/>
          <w:szCs w:val="24"/>
        </w:rPr>
        <w:tab/>
        <w:t xml:space="preserve">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15</m:t>
            </m:r>
          </m:sup>
        </m:sSup>
        <m:r>
          <m:rPr>
            <m:sty m:val="bi"/>
          </m:rPr>
          <w:rPr>
            <w:rFonts w:ascii="Cambria Math" w:hAnsi="Cambria Math"/>
          </w:rPr>
          <m:t>∙</m:t>
        </m:r>
        <m:d>
          <m:dPr>
            <m:ctrlPr>
              <w:rPr>
                <w:rFonts w:ascii="Cambria Math" w:hAnsi="Cambria Math"/>
                <w:i/>
              </w:rPr>
            </m:ctrlPr>
          </m:dPr>
          <m:e>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μ</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μ</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ID</m:t>
                </m:r>
              </m:sub>
            </m:sSub>
          </m:e>
        </m:d>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ID</m:t>
            </m:r>
          </m:sub>
        </m:sSub>
      </m:oMath>
      <w:r w:rsidRPr="007252A2">
        <w:rPr>
          <w:bCs w:val="0"/>
        </w:rPr>
        <w:t xml:space="preserve">, </w:t>
      </w:r>
    </w:p>
    <w:p w14:paraId="6F6F539B" w14:textId="77777777" w:rsidR="00037459" w:rsidRDefault="00037459" w:rsidP="00037459">
      <w:pPr>
        <w:pStyle w:val="Caption"/>
        <w:ind w:left="1134" w:firstLine="567"/>
        <w:jc w:val="left"/>
        <w:rPr>
          <w:bCs w:val="0"/>
        </w:rPr>
      </w:pPr>
      <w:r w:rsidRPr="007252A2">
        <w:rPr>
          <w:bCs w:val="0"/>
        </w:rPr>
        <w:t>where</w:t>
      </w:r>
      <w:r w:rsidRPr="007252A2">
        <w:rPr>
          <w:bCs w:val="0"/>
          <w:szCs w:val="24"/>
        </w:rPr>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μ</m:t>
            </m:r>
          </m:sub>
        </m:sSub>
      </m:oMath>
      <w:r w:rsidRPr="007252A2">
        <w:rPr>
          <w:bCs w:val="0"/>
        </w:rPr>
        <w:t xml:space="preserve"> is a symbol counter,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μ</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m:t>
            </m:r>
          </m:sub>
          <m:sup>
            <m:r>
              <m:rPr>
                <m:sty m:val="bi"/>
              </m:rPr>
              <w:rPr>
                <w:rFonts w:ascii="Cambria Math" w:hAnsi="Cambria Math"/>
              </w:rPr>
              <m:t>μ</m:t>
            </m:r>
          </m:sup>
        </m:sSubSup>
        <m:r>
          <m:rPr>
            <m:sty m:val="bi"/>
          </m:rPr>
          <w:rPr>
            <w:rFonts w:ascii="Cambria Math" w:hAnsi="Cambria Math"/>
          </w:rPr>
          <m:t>+l+1</m:t>
        </m:r>
      </m:oMath>
      <w:r w:rsidRPr="007252A2">
        <w:t>,</w:t>
      </w:r>
      <w:r w:rsidRPr="007252A2">
        <w:rPr>
          <w:bCs w:val="0"/>
          <w:szCs w:val="24"/>
        </w:rPr>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ID</m:t>
            </m:r>
          </m:sub>
        </m:sSub>
      </m:oMath>
      <w:r w:rsidRPr="007252A2">
        <w:rPr>
          <w:bCs w:val="0"/>
        </w:rPr>
        <w:t xml:space="preserve"> is a 15-bit scrambling ID and </w:t>
      </w:r>
      <m:oMath>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μ</m:t>
            </m:r>
          </m:sub>
        </m:sSub>
      </m:oMath>
      <w:r w:rsidRPr="007252A2">
        <w:t xml:space="preserve"> is a subcarrier spacing dependent scaling factor defined in </w:t>
      </w:r>
      <w:r w:rsidRPr="007252A2">
        <w:fldChar w:fldCharType="begin"/>
      </w:r>
      <w:r w:rsidRPr="007252A2">
        <w:instrText xml:space="preserve"> REF _Ref498592842 \h </w:instrText>
      </w:r>
      <w:r>
        <w:instrText xml:space="preserve"> \* MERGEFORMAT </w:instrText>
      </w:r>
      <w:r w:rsidRPr="007252A2">
        <w:fldChar w:fldCharType="separate"/>
      </w:r>
      <w:r>
        <w:t xml:space="preserve">Table </w:t>
      </w:r>
      <w:r>
        <w:rPr>
          <w:noProof/>
        </w:rPr>
        <w:t>3</w:t>
      </w:r>
      <w:r w:rsidRPr="007252A2">
        <w:fldChar w:fldCharType="end"/>
      </w:r>
      <w:r>
        <w:t>.</w:t>
      </w:r>
      <w:r w:rsidRPr="008863CD">
        <w:rPr>
          <w:bCs w:val="0"/>
        </w:rPr>
        <w:t xml:space="preserve"> </w:t>
      </w:r>
      <w:r>
        <w:rPr>
          <w:bCs w:val="0"/>
        </w:rPr>
        <w:tab/>
      </w:r>
    </w:p>
    <w:p w14:paraId="40B0637A" w14:textId="6BF5A8DB" w:rsidR="00037459" w:rsidRPr="00037459" w:rsidRDefault="00037459" w:rsidP="00037459">
      <w:pPr>
        <w:pStyle w:val="TOC1"/>
        <w:rPr>
          <w:rFonts w:asciiTheme="minorHAnsi" w:eastAsiaTheme="minorEastAsia" w:hAnsiTheme="minorHAnsi" w:cstheme="minorBidi"/>
          <w:b w:val="0"/>
          <w:sz w:val="22"/>
          <w:lang w:val="en-GB" w:eastAsia="sv-SE"/>
        </w:rPr>
      </w:pPr>
    </w:p>
    <w:p w14:paraId="49E5199C" w14:textId="77777777" w:rsidR="00037459" w:rsidRPr="00037459" w:rsidRDefault="00037459">
      <w:pPr>
        <w:pStyle w:val="TOC1"/>
        <w:rPr>
          <w:rFonts w:asciiTheme="minorHAnsi" w:eastAsiaTheme="minorEastAsia" w:hAnsiTheme="minorHAnsi" w:cstheme="minorBidi"/>
          <w:b w:val="0"/>
          <w:sz w:val="22"/>
          <w:lang w:eastAsia="sv-SE"/>
        </w:rPr>
      </w:pPr>
      <w:r>
        <w:t>Proposal 15</w:t>
      </w:r>
      <w:r w:rsidRPr="00037459">
        <w:rPr>
          <w:rFonts w:asciiTheme="minorHAnsi" w:eastAsiaTheme="minorEastAsia" w:hAnsiTheme="minorHAnsi" w:cstheme="minorBidi"/>
          <w:b w:val="0"/>
          <w:sz w:val="22"/>
          <w:lang w:eastAsia="sv-SE"/>
        </w:rPr>
        <w:tab/>
      </w:r>
      <w:r>
        <w:t xml:space="preserve">When the 15-bit scrambling ID, </w:t>
      </w:r>
      <m:oMath>
        <m:r>
          <m:rPr>
            <m:sty m:val="bi"/>
          </m:rPr>
          <w:rPr>
            <w:rFonts w:ascii="Cambria Math" w:hAnsi="Cambria Math"/>
          </w:rPr>
          <m:t>nID</m:t>
        </m:r>
      </m:oMath>
      <w:r>
        <w:t xml:space="preserve">, is not configured by higher layers, it shall be defined as </w:t>
      </w:r>
      <m:oMath>
        <m:r>
          <m:rPr>
            <m:sty m:val="bi"/>
          </m:rPr>
          <w:rPr>
            <w:rFonts w:ascii="Cambria Math" w:hAnsi="Cambria Math"/>
          </w:rPr>
          <m:t>nID=31∙N</m:t>
        </m:r>
        <m:r>
          <m:rPr>
            <m:nor/>
          </m:rPr>
          <w:rPr>
            <w:rFonts w:ascii="Cambria Math" w:hAnsi="Cambria Math"/>
          </w:rPr>
          <m:t>IDcell</m:t>
        </m:r>
      </m:oMath>
      <w:r>
        <w:t xml:space="preserve"> where </w:t>
      </w:r>
      <m:oMath>
        <m:r>
          <m:rPr>
            <m:sty m:val="bi"/>
          </m:rPr>
          <w:rPr>
            <w:rFonts w:ascii="Cambria Math" w:hAnsi="Cambria Math"/>
          </w:rPr>
          <m:t>N</m:t>
        </m:r>
        <m:r>
          <m:rPr>
            <m:nor/>
          </m:rPr>
          <w:rPr>
            <w:rFonts w:ascii="Cambria Math" w:hAnsi="Cambria Math"/>
          </w:rPr>
          <m:t>IDcell</m:t>
        </m:r>
      </m:oMath>
      <w:r>
        <w:t xml:space="preserve">  refers to the physical cell ID.</w:t>
      </w:r>
    </w:p>
    <w:p w14:paraId="75144ACA" w14:textId="77777777" w:rsidR="00037459" w:rsidRPr="00037459" w:rsidRDefault="00037459">
      <w:pPr>
        <w:pStyle w:val="TOC1"/>
        <w:rPr>
          <w:rFonts w:asciiTheme="minorHAnsi" w:eastAsiaTheme="minorEastAsia" w:hAnsiTheme="minorHAnsi" w:cstheme="minorBidi"/>
          <w:b w:val="0"/>
          <w:sz w:val="22"/>
          <w:lang w:eastAsia="sv-SE"/>
        </w:rPr>
      </w:pPr>
      <w:r>
        <w:t>Proposal 16</w:t>
      </w:r>
      <w:r w:rsidRPr="00037459">
        <w:rPr>
          <w:rFonts w:asciiTheme="minorHAnsi" w:eastAsiaTheme="minorEastAsia" w:hAnsiTheme="minorHAnsi" w:cstheme="minorBidi"/>
          <w:b w:val="0"/>
          <w:sz w:val="22"/>
          <w:lang w:eastAsia="sv-SE"/>
        </w:rPr>
        <w:tab/>
      </w:r>
      <w:r>
        <w:rPr>
          <w:lang w:eastAsia="ja-JP"/>
        </w:rPr>
        <w:t xml:space="preserve">Reuse the LTE UL DMRS sequence design down to 1 RB scheduling BW and use initialization based on </w:t>
      </w:r>
      <w:r w:rsidRPr="00A13EF0">
        <w:rPr>
          <w:position w:val="-10"/>
        </w:rPr>
        <w:object w:dxaOrig="340" w:dyaOrig="360" w14:anchorId="462E4993">
          <v:shape id="_x0000_i1055" type="#_x0000_t75" style="width:18pt;height:18pt" o:ole="">
            <v:imagedata r:id="rId19" o:title=""/>
          </v:shape>
          <o:OLEObject Type="Embed" ProgID="Equation.3" ShapeID="_x0000_i1055" DrawAspect="Content" ObjectID="_1572458559" r:id="rId24"/>
        </w:object>
      </w:r>
      <w:r>
        <w:t xml:space="preserve"> that is selected from a set of higher-layer configured numbers and further selected from the set by scheduling DCI. The value </w:t>
      </w:r>
      <w:r w:rsidRPr="00A13EF0">
        <w:rPr>
          <w:position w:val="-10"/>
        </w:rPr>
        <w:object w:dxaOrig="340" w:dyaOrig="360" w14:anchorId="78C9559B">
          <v:shape id="_x0000_i1056" type="#_x0000_t75" style="width:18pt;height:18pt" o:ole="">
            <v:imagedata r:id="rId19" o:title=""/>
          </v:shape>
          <o:OLEObject Type="Embed" ProgID="Equation.3" ShapeID="_x0000_i1056" DrawAspect="Content" ObjectID="_1572458560" r:id="rId25"/>
        </w:object>
      </w:r>
      <w:r>
        <w:t xml:space="preserve"> is equal to the cell ID </w:t>
      </w:r>
      <w:r w:rsidRPr="00A13EF0">
        <w:rPr>
          <w:position w:val="-10"/>
        </w:rPr>
        <w:object w:dxaOrig="460" w:dyaOrig="340" w14:anchorId="5EE606E7">
          <v:shape id="_x0000_i1057" type="#_x0000_t75" style="width:23.25pt;height:18pt" o:ole="">
            <v:imagedata r:id="rId22" o:title=""/>
          </v:shape>
          <o:OLEObject Type="Embed" ProgID="Equation.3" ShapeID="_x0000_i1057" DrawAspect="Content" ObjectID="_1572458561" r:id="rId26"/>
        </w:object>
      </w:r>
      <w:r>
        <w:t xml:space="preserve"> if not configured by higher layers.</w:t>
      </w:r>
    </w:p>
    <w:p w14:paraId="26860E69" w14:textId="77777777" w:rsidR="00037459" w:rsidRPr="00037459" w:rsidRDefault="00037459">
      <w:pPr>
        <w:pStyle w:val="TOC1"/>
        <w:rPr>
          <w:rFonts w:asciiTheme="minorHAnsi" w:eastAsiaTheme="minorEastAsia" w:hAnsiTheme="minorHAnsi" w:cstheme="minorBidi"/>
          <w:b w:val="0"/>
          <w:sz w:val="22"/>
          <w:lang w:eastAsia="sv-SE"/>
        </w:rPr>
      </w:pPr>
      <w:r>
        <w:t>Proposal 17</w:t>
      </w:r>
      <w:r w:rsidRPr="00037459">
        <w:rPr>
          <w:rFonts w:asciiTheme="minorHAnsi" w:eastAsiaTheme="minorEastAsia" w:hAnsiTheme="minorHAnsi" w:cstheme="minorBidi"/>
          <w:b w:val="0"/>
          <w:sz w:val="22"/>
          <w:lang w:eastAsia="sv-SE"/>
        </w:rPr>
        <w:tab/>
      </w:r>
      <w:r>
        <w:t xml:space="preserve">DMRS for DFT-spread </w:t>
      </w:r>
      <w:r w:rsidRPr="004760B7">
        <w:rPr>
          <w:rFonts w:ascii="Symbol" w:hAnsi="Symbol"/>
        </w:rPr>
        <w:t></w:t>
      </w:r>
      <w:r>
        <w:t>/2 BPSK data is mapped on a 2-Comb</w:t>
      </w:r>
    </w:p>
    <w:p w14:paraId="7FE3A2B0" w14:textId="77777777" w:rsidR="00037459" w:rsidRPr="00037459" w:rsidRDefault="00037459">
      <w:pPr>
        <w:pStyle w:val="TOC1"/>
        <w:rPr>
          <w:rFonts w:asciiTheme="minorHAnsi" w:eastAsiaTheme="minorEastAsia" w:hAnsiTheme="minorHAnsi" w:cstheme="minorBidi"/>
          <w:b w:val="0"/>
          <w:sz w:val="22"/>
          <w:lang w:eastAsia="sv-SE"/>
        </w:rPr>
      </w:pPr>
      <w:r>
        <w:t>Proposal 18</w:t>
      </w:r>
      <w:r w:rsidRPr="00037459">
        <w:rPr>
          <w:rFonts w:asciiTheme="minorHAnsi" w:eastAsiaTheme="minorEastAsia" w:hAnsiTheme="minorHAnsi" w:cstheme="minorBidi"/>
          <w:b w:val="0"/>
          <w:sz w:val="22"/>
          <w:lang w:eastAsia="sv-SE"/>
        </w:rPr>
        <w:tab/>
      </w:r>
      <w:r>
        <w:t>The power boosting ratio of DMRS should be dynamically signalled to UEs (or equivalently encode this additional signalling in the port mapping) for transparent MU-MIMO</w:t>
      </w:r>
    </w:p>
    <w:p w14:paraId="5AE54441" w14:textId="77777777" w:rsidR="00037459" w:rsidRPr="00037459" w:rsidRDefault="00037459">
      <w:pPr>
        <w:pStyle w:val="TOC1"/>
        <w:rPr>
          <w:rFonts w:asciiTheme="minorHAnsi" w:eastAsiaTheme="minorEastAsia" w:hAnsiTheme="minorHAnsi" w:cstheme="minorBidi"/>
          <w:b w:val="0"/>
          <w:sz w:val="22"/>
          <w:lang w:eastAsia="sv-SE"/>
        </w:rPr>
      </w:pPr>
      <w:r>
        <w:t>Proposal 19</w:t>
      </w:r>
      <w:r w:rsidRPr="00037459">
        <w:rPr>
          <w:rFonts w:asciiTheme="minorHAnsi" w:eastAsiaTheme="minorEastAsia" w:hAnsiTheme="minorHAnsi" w:cstheme="minorBidi"/>
          <w:b w:val="0"/>
          <w:sz w:val="22"/>
          <w:lang w:eastAsia="sv-SE"/>
        </w:rPr>
        <w:tab/>
      </w:r>
      <w:r>
        <w:t>Specification based solutions, i.e., shuffling the OCC order in paired PRBs, should be considered to resolve the power imbalance issue in time domain.</w:t>
      </w:r>
    </w:p>
    <w:p w14:paraId="49A5DF11" w14:textId="6B151B59" w:rsidR="00037459" w:rsidRDefault="00037459" w:rsidP="00E5689D">
      <w:pPr>
        <w:pStyle w:val="BodyText"/>
      </w:pPr>
      <w:r>
        <w:fldChar w:fldCharType="end"/>
      </w:r>
    </w:p>
    <w:p w14:paraId="7DC5A0AD" w14:textId="77777777" w:rsidR="005E6FAC" w:rsidRDefault="005E6FAC" w:rsidP="00E5689D">
      <w:pPr>
        <w:pStyle w:val="BodyText"/>
      </w:pPr>
    </w:p>
    <w:p w14:paraId="6BC88DED" w14:textId="76F6CA7F" w:rsidR="00683685" w:rsidRDefault="00683685" w:rsidP="00E5689D">
      <w:pPr>
        <w:pStyle w:val="BodyText"/>
      </w:pPr>
    </w:p>
    <w:p w14:paraId="5B3C850D" w14:textId="77777777" w:rsidR="00F507D1" w:rsidRPr="00CE0424" w:rsidRDefault="00F507D1" w:rsidP="00CE0424">
      <w:pPr>
        <w:pStyle w:val="Heading1"/>
      </w:pPr>
      <w:bookmarkStart w:id="142" w:name="_In-sequence_SDU_delivery"/>
      <w:bookmarkEnd w:id="142"/>
      <w:r w:rsidRPr="00CE0424">
        <w:t>References</w:t>
      </w:r>
    </w:p>
    <w:p w14:paraId="7F6BE79D" w14:textId="520E47E2" w:rsidR="00743D20" w:rsidRPr="00B850C6" w:rsidRDefault="00B850C6" w:rsidP="00026925">
      <w:pPr>
        <w:pStyle w:val="references"/>
        <w:rPr>
          <w:sz w:val="20"/>
          <w:szCs w:val="20"/>
        </w:rPr>
      </w:pPr>
      <w:bookmarkStart w:id="143" w:name="_Ref478147625"/>
      <w:bookmarkStart w:id="144" w:name="_Ref471743894"/>
      <w:bookmarkStart w:id="145" w:name="_Ref478071796"/>
      <w:bookmarkStart w:id="146" w:name="_Ref471196519"/>
      <w:bookmarkStart w:id="147" w:name="_Ref378962075"/>
      <w:bookmarkStart w:id="148" w:name="_Ref465589004"/>
      <w:bookmarkStart w:id="149" w:name="_Ref458609882"/>
      <w:r w:rsidRPr="00B850C6">
        <w:rPr>
          <w:sz w:val="20"/>
          <w:szCs w:val="20"/>
          <w:lang w:eastAsia="ja-JP"/>
        </w:rPr>
        <w:t>R1-1720728</w:t>
      </w:r>
      <w:r w:rsidR="00000702" w:rsidRPr="00B850C6">
        <w:rPr>
          <w:sz w:val="20"/>
          <w:szCs w:val="20"/>
        </w:rPr>
        <w:t>, “Further evaluations on DMRS</w:t>
      </w:r>
      <w:r w:rsidR="00743D20" w:rsidRPr="00B850C6">
        <w:rPr>
          <w:sz w:val="20"/>
          <w:szCs w:val="20"/>
        </w:rPr>
        <w:t>”, Ericsson</w:t>
      </w:r>
      <w:bookmarkEnd w:id="143"/>
    </w:p>
    <w:p w14:paraId="4D0E1053" w14:textId="63D483D4" w:rsidR="0054436F" w:rsidRPr="00B850C6" w:rsidRDefault="00B850C6" w:rsidP="0054436F">
      <w:pPr>
        <w:pStyle w:val="references"/>
        <w:rPr>
          <w:bCs/>
          <w:sz w:val="20"/>
          <w:szCs w:val="20"/>
          <w:lang w:eastAsia="ja-JP"/>
        </w:rPr>
      </w:pPr>
      <w:bookmarkStart w:id="150" w:name="_Ref498627810"/>
      <w:bookmarkEnd w:id="144"/>
      <w:bookmarkEnd w:id="145"/>
      <w:bookmarkEnd w:id="146"/>
      <w:bookmarkEnd w:id="147"/>
      <w:bookmarkEnd w:id="148"/>
      <w:bookmarkEnd w:id="149"/>
      <w:r w:rsidRPr="00B850C6">
        <w:rPr>
          <w:bCs/>
          <w:sz w:val="20"/>
          <w:szCs w:val="20"/>
          <w:lang w:eastAsia="ja-JP"/>
        </w:rPr>
        <w:t>R1-1720726</w:t>
      </w:r>
      <w:r w:rsidR="0054436F" w:rsidRPr="00B850C6">
        <w:rPr>
          <w:bCs/>
          <w:sz w:val="20"/>
          <w:szCs w:val="20"/>
          <w:lang w:eastAsia="ja-JP"/>
        </w:rPr>
        <w:t>, “Sequence initialization for DMRS and CSI-RS”, Ericsson</w:t>
      </w:r>
      <w:bookmarkEnd w:id="150"/>
    </w:p>
    <w:p w14:paraId="4369F484" w14:textId="71F6C605" w:rsidR="00C023A1" w:rsidRPr="00B850C6" w:rsidRDefault="00B850C6" w:rsidP="00850FCB">
      <w:pPr>
        <w:pStyle w:val="references"/>
        <w:rPr>
          <w:bCs/>
          <w:sz w:val="20"/>
          <w:szCs w:val="20"/>
          <w:lang w:eastAsia="ja-JP"/>
        </w:rPr>
      </w:pPr>
      <w:bookmarkStart w:id="151" w:name="_Ref494734354"/>
      <w:r w:rsidRPr="00B850C6">
        <w:rPr>
          <w:bCs/>
          <w:sz w:val="20"/>
          <w:szCs w:val="20"/>
          <w:lang w:eastAsia="ja-JP"/>
        </w:rPr>
        <w:t>R1-1720729</w:t>
      </w:r>
      <w:r w:rsidR="00C023A1" w:rsidRPr="00B850C6">
        <w:rPr>
          <w:bCs/>
          <w:sz w:val="20"/>
          <w:szCs w:val="20"/>
          <w:lang w:eastAsia="ja-JP"/>
        </w:rPr>
        <w:t xml:space="preserve">, “CM evaluations on </w:t>
      </w:r>
      <w:r w:rsidR="00C023A1" w:rsidRPr="00B850C6">
        <w:rPr>
          <w:sz w:val="20"/>
          <w:szCs w:val="20"/>
        </w:rPr>
        <w:t xml:space="preserve">DMRS for </w:t>
      </w:r>
      <w:r w:rsidR="00C023A1" w:rsidRPr="00B850C6">
        <w:rPr>
          <w:rFonts w:ascii="Symbol" w:hAnsi="Symbol"/>
          <w:sz w:val="20"/>
          <w:szCs w:val="20"/>
        </w:rPr>
        <w:t></w:t>
      </w:r>
      <w:r w:rsidR="00C023A1" w:rsidRPr="00B850C6">
        <w:rPr>
          <w:sz w:val="20"/>
          <w:szCs w:val="20"/>
        </w:rPr>
        <w:t>/2-BPSK”, Ericsson</w:t>
      </w:r>
      <w:bookmarkEnd w:id="151"/>
    </w:p>
    <w:p w14:paraId="514EBA27" w14:textId="70A331A8" w:rsidR="00C023A1" w:rsidRPr="00B850C6" w:rsidRDefault="00C023A1" w:rsidP="00C023A1">
      <w:pPr>
        <w:pStyle w:val="references"/>
        <w:rPr>
          <w:bCs/>
          <w:sz w:val="20"/>
          <w:szCs w:val="20"/>
          <w:lang w:eastAsia="ja-JP"/>
        </w:rPr>
      </w:pPr>
      <w:bookmarkStart w:id="152" w:name="_Ref494734613"/>
      <w:r w:rsidRPr="00B850C6">
        <w:rPr>
          <w:bCs/>
          <w:sz w:val="20"/>
          <w:szCs w:val="20"/>
          <w:lang w:eastAsia="ja-JP"/>
        </w:rPr>
        <w:t>R1-</w:t>
      </w:r>
      <w:r w:rsidR="00B850C6" w:rsidRPr="00B850C6">
        <w:rPr>
          <w:sz w:val="20"/>
          <w:szCs w:val="20"/>
        </w:rPr>
        <w:t xml:space="preserve"> 1720738</w:t>
      </w:r>
      <w:r w:rsidRPr="00B850C6">
        <w:rPr>
          <w:sz w:val="20"/>
          <w:szCs w:val="20"/>
        </w:rPr>
        <w:t>, “</w:t>
      </w:r>
      <w:r w:rsidRPr="00B850C6">
        <w:rPr>
          <w:bCs/>
          <w:sz w:val="20"/>
          <w:szCs w:val="20"/>
          <w:lang w:eastAsia="ja-JP"/>
        </w:rPr>
        <w:t>On Multiplexing of RS types”, Ericsson</w:t>
      </w:r>
      <w:bookmarkEnd w:id="152"/>
    </w:p>
    <w:p w14:paraId="238114F2" w14:textId="1BEC051E" w:rsidR="00362AC6" w:rsidRPr="00683685" w:rsidRDefault="00683685" w:rsidP="00C023A1">
      <w:pPr>
        <w:pStyle w:val="references"/>
        <w:rPr>
          <w:bCs/>
          <w:sz w:val="20"/>
          <w:szCs w:val="20"/>
          <w:lang w:eastAsia="ja-JP"/>
        </w:rPr>
      </w:pPr>
      <w:bookmarkStart w:id="153" w:name="_Ref498693834"/>
      <w:r w:rsidRPr="00683685">
        <w:rPr>
          <w:bCs/>
          <w:sz w:val="20"/>
          <w:szCs w:val="20"/>
          <w:lang w:eastAsia="ja-JP"/>
        </w:rPr>
        <w:t>R1-1720985</w:t>
      </w:r>
      <w:r w:rsidR="00362AC6" w:rsidRPr="00683685">
        <w:rPr>
          <w:bCs/>
          <w:sz w:val="20"/>
          <w:szCs w:val="20"/>
          <w:lang w:eastAsia="ja-JP"/>
        </w:rPr>
        <w:t>, “On DMRS power boosting and power imbalance”, Ericsson</w:t>
      </w:r>
      <w:bookmarkEnd w:id="153"/>
    </w:p>
    <w:p w14:paraId="11EA4D72" w14:textId="38A8F7F2" w:rsidR="00362AC6" w:rsidRPr="00362AC6" w:rsidRDefault="00362AC6" w:rsidP="00362AC6">
      <w:pPr>
        <w:pStyle w:val="references"/>
        <w:rPr>
          <w:bCs/>
          <w:sz w:val="20"/>
          <w:szCs w:val="20"/>
          <w:lang w:eastAsia="ja-JP"/>
        </w:rPr>
      </w:pPr>
      <w:bookmarkStart w:id="154" w:name="_Ref498693231"/>
      <w:r w:rsidRPr="00362AC6">
        <w:rPr>
          <w:bCs/>
          <w:sz w:val="20"/>
          <w:szCs w:val="20"/>
          <w:lang w:eastAsia="ja-JP"/>
        </w:rPr>
        <w:t>RAN1 chairman’s notes, 3GPP TSG RAN WG1 Meeting NR#3, Nagoya, Japan, 18th-21st, September 2017</w:t>
      </w:r>
      <w:bookmarkEnd w:id="154"/>
    </w:p>
    <w:p w14:paraId="5EB0F324" w14:textId="3F170A98" w:rsidR="00850FCB" w:rsidRPr="0000510D" w:rsidRDefault="00850FCB" w:rsidP="00850FCB">
      <w:pPr>
        <w:pStyle w:val="references"/>
        <w:numPr>
          <w:ilvl w:val="0"/>
          <w:numId w:val="0"/>
        </w:numPr>
        <w:ind w:left="360"/>
        <w:rPr>
          <w:sz w:val="20"/>
          <w:szCs w:val="20"/>
          <w:lang w:eastAsia="ja-JP"/>
        </w:rPr>
      </w:pPr>
    </w:p>
    <w:p w14:paraId="3BC9304B" w14:textId="4723553A" w:rsidR="003A7EF3" w:rsidRPr="00CE0424" w:rsidRDefault="003A7EF3" w:rsidP="00B850C6">
      <w:pPr>
        <w:pStyle w:val="Reference"/>
        <w:numPr>
          <w:ilvl w:val="0"/>
          <w:numId w:val="0"/>
        </w:numPr>
      </w:pPr>
    </w:p>
    <w:sectPr w:rsidR="003A7EF3" w:rsidRPr="00CE0424" w:rsidSect="00C02A4C">
      <w:headerReference w:type="even" r:id="rId27"/>
      <w:footerReference w:type="default" r:id="rId2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AA0CE" w14:textId="77777777" w:rsidR="007C5408" w:rsidRDefault="007C5408">
      <w:r>
        <w:separator/>
      </w:r>
    </w:p>
  </w:endnote>
  <w:endnote w:type="continuationSeparator" w:id="0">
    <w:p w14:paraId="599196DA" w14:textId="77777777" w:rsidR="007C5408" w:rsidRDefault="007C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CBAB9D9" w:rsidR="00A67C2A" w:rsidRDefault="00A67C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37459">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7459">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CC8E7" w14:textId="77777777" w:rsidR="007C5408" w:rsidRDefault="007C5408">
      <w:r>
        <w:separator/>
      </w:r>
    </w:p>
  </w:footnote>
  <w:footnote w:type="continuationSeparator" w:id="0">
    <w:p w14:paraId="58B9549D" w14:textId="77777777" w:rsidR="007C5408" w:rsidRDefault="007C5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A67C2A" w:rsidRDefault="00A67C2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75pt;height:15.75pt" o:bullet="t">
        <v:imagedata r:id="rId1" o:title="art94D2"/>
      </v:shape>
    </w:pict>
  </w:numPicBullet>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98C082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D119E8"/>
    <w:multiLevelType w:val="hybridMultilevel"/>
    <w:tmpl w:val="30B6FF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715DA"/>
    <w:multiLevelType w:val="hybridMultilevel"/>
    <w:tmpl w:val="436E4C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208B95C" w:tentative="1">
      <w:start w:val="1"/>
      <w:numFmt w:val="bullet"/>
      <w:lvlText w:val=""/>
      <w:lvlPicBulletId w:val="0"/>
      <w:lvlJc w:val="left"/>
      <w:pPr>
        <w:tabs>
          <w:tab w:val="num" w:pos="2160"/>
        </w:tabs>
        <w:ind w:left="2160" w:hanging="360"/>
      </w:pPr>
      <w:rPr>
        <w:rFonts w:ascii="Symbol" w:hAnsi="Symbol" w:hint="default"/>
      </w:rPr>
    </w:lvl>
    <w:lvl w:ilvl="3" w:tplc="7180AD4E" w:tentative="1">
      <w:start w:val="1"/>
      <w:numFmt w:val="bullet"/>
      <w:lvlText w:val=""/>
      <w:lvlPicBulletId w:val="0"/>
      <w:lvlJc w:val="left"/>
      <w:pPr>
        <w:tabs>
          <w:tab w:val="num" w:pos="2880"/>
        </w:tabs>
        <w:ind w:left="2880" w:hanging="360"/>
      </w:pPr>
      <w:rPr>
        <w:rFonts w:ascii="Symbol" w:hAnsi="Symbol" w:hint="default"/>
      </w:rPr>
    </w:lvl>
    <w:lvl w:ilvl="4" w:tplc="15D85AFE" w:tentative="1">
      <w:start w:val="1"/>
      <w:numFmt w:val="bullet"/>
      <w:lvlText w:val=""/>
      <w:lvlPicBulletId w:val="0"/>
      <w:lvlJc w:val="left"/>
      <w:pPr>
        <w:tabs>
          <w:tab w:val="num" w:pos="3600"/>
        </w:tabs>
        <w:ind w:left="3600" w:hanging="360"/>
      </w:pPr>
      <w:rPr>
        <w:rFonts w:ascii="Symbol" w:hAnsi="Symbol" w:hint="default"/>
      </w:rPr>
    </w:lvl>
    <w:lvl w:ilvl="5" w:tplc="59404BDA" w:tentative="1">
      <w:start w:val="1"/>
      <w:numFmt w:val="bullet"/>
      <w:lvlText w:val=""/>
      <w:lvlPicBulletId w:val="0"/>
      <w:lvlJc w:val="left"/>
      <w:pPr>
        <w:tabs>
          <w:tab w:val="num" w:pos="4320"/>
        </w:tabs>
        <w:ind w:left="4320" w:hanging="360"/>
      </w:pPr>
      <w:rPr>
        <w:rFonts w:ascii="Symbol" w:hAnsi="Symbol" w:hint="default"/>
      </w:rPr>
    </w:lvl>
    <w:lvl w:ilvl="6" w:tplc="73B6731C" w:tentative="1">
      <w:start w:val="1"/>
      <w:numFmt w:val="bullet"/>
      <w:lvlText w:val=""/>
      <w:lvlPicBulletId w:val="0"/>
      <w:lvlJc w:val="left"/>
      <w:pPr>
        <w:tabs>
          <w:tab w:val="num" w:pos="5040"/>
        </w:tabs>
        <w:ind w:left="5040" w:hanging="360"/>
      </w:pPr>
      <w:rPr>
        <w:rFonts w:ascii="Symbol" w:hAnsi="Symbol" w:hint="default"/>
      </w:rPr>
    </w:lvl>
    <w:lvl w:ilvl="7" w:tplc="5C0A3EDA" w:tentative="1">
      <w:start w:val="1"/>
      <w:numFmt w:val="bullet"/>
      <w:lvlText w:val=""/>
      <w:lvlPicBulletId w:val="0"/>
      <w:lvlJc w:val="left"/>
      <w:pPr>
        <w:tabs>
          <w:tab w:val="num" w:pos="5760"/>
        </w:tabs>
        <w:ind w:left="5760" w:hanging="360"/>
      </w:pPr>
      <w:rPr>
        <w:rFonts w:ascii="Symbol" w:hAnsi="Symbol" w:hint="default"/>
      </w:rPr>
    </w:lvl>
    <w:lvl w:ilvl="8" w:tplc="7AD4AE12"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64E0948"/>
    <w:multiLevelType w:val="hybridMultilevel"/>
    <w:tmpl w:val="E932DF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3C2AD3"/>
    <w:multiLevelType w:val="hybridMultilevel"/>
    <w:tmpl w:val="244A87FA"/>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8" w15:restartNumberingAfterBreak="0">
    <w:nsid w:val="276A5664"/>
    <w:multiLevelType w:val="hybridMultilevel"/>
    <w:tmpl w:val="EC68F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753A26"/>
    <w:multiLevelType w:val="hybridMultilevel"/>
    <w:tmpl w:val="E1668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43194E"/>
    <w:multiLevelType w:val="hybridMultilevel"/>
    <w:tmpl w:val="F36C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4B6"/>
    <w:multiLevelType w:val="hybridMultilevel"/>
    <w:tmpl w:val="08A044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C2530F"/>
    <w:multiLevelType w:val="hybridMultilevel"/>
    <w:tmpl w:val="C06EB0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84C2AA" w:tentative="1">
      <w:start w:val="1"/>
      <w:numFmt w:val="bullet"/>
      <w:lvlText w:val=""/>
      <w:lvlPicBulletId w:val="0"/>
      <w:lvlJc w:val="left"/>
      <w:pPr>
        <w:tabs>
          <w:tab w:val="num" w:pos="2160"/>
        </w:tabs>
        <w:ind w:left="2160" w:hanging="360"/>
      </w:pPr>
      <w:rPr>
        <w:rFonts w:ascii="Symbol" w:hAnsi="Symbol" w:hint="default"/>
      </w:rPr>
    </w:lvl>
    <w:lvl w:ilvl="3" w:tplc="7ED652CC" w:tentative="1">
      <w:start w:val="1"/>
      <w:numFmt w:val="bullet"/>
      <w:lvlText w:val=""/>
      <w:lvlPicBulletId w:val="0"/>
      <w:lvlJc w:val="left"/>
      <w:pPr>
        <w:tabs>
          <w:tab w:val="num" w:pos="2880"/>
        </w:tabs>
        <w:ind w:left="2880" w:hanging="360"/>
      </w:pPr>
      <w:rPr>
        <w:rFonts w:ascii="Symbol" w:hAnsi="Symbol" w:hint="default"/>
      </w:rPr>
    </w:lvl>
    <w:lvl w:ilvl="4" w:tplc="C4E2CBA2" w:tentative="1">
      <w:start w:val="1"/>
      <w:numFmt w:val="bullet"/>
      <w:lvlText w:val=""/>
      <w:lvlPicBulletId w:val="0"/>
      <w:lvlJc w:val="left"/>
      <w:pPr>
        <w:tabs>
          <w:tab w:val="num" w:pos="3600"/>
        </w:tabs>
        <w:ind w:left="3600" w:hanging="360"/>
      </w:pPr>
      <w:rPr>
        <w:rFonts w:ascii="Symbol" w:hAnsi="Symbol" w:hint="default"/>
      </w:rPr>
    </w:lvl>
    <w:lvl w:ilvl="5" w:tplc="7D34D19C" w:tentative="1">
      <w:start w:val="1"/>
      <w:numFmt w:val="bullet"/>
      <w:lvlText w:val=""/>
      <w:lvlPicBulletId w:val="0"/>
      <w:lvlJc w:val="left"/>
      <w:pPr>
        <w:tabs>
          <w:tab w:val="num" w:pos="4320"/>
        </w:tabs>
        <w:ind w:left="4320" w:hanging="360"/>
      </w:pPr>
      <w:rPr>
        <w:rFonts w:ascii="Symbol" w:hAnsi="Symbol" w:hint="default"/>
      </w:rPr>
    </w:lvl>
    <w:lvl w:ilvl="6" w:tplc="F84C2412" w:tentative="1">
      <w:start w:val="1"/>
      <w:numFmt w:val="bullet"/>
      <w:lvlText w:val=""/>
      <w:lvlPicBulletId w:val="0"/>
      <w:lvlJc w:val="left"/>
      <w:pPr>
        <w:tabs>
          <w:tab w:val="num" w:pos="5040"/>
        </w:tabs>
        <w:ind w:left="5040" w:hanging="360"/>
      </w:pPr>
      <w:rPr>
        <w:rFonts w:ascii="Symbol" w:hAnsi="Symbol" w:hint="default"/>
      </w:rPr>
    </w:lvl>
    <w:lvl w:ilvl="7" w:tplc="1532A716" w:tentative="1">
      <w:start w:val="1"/>
      <w:numFmt w:val="bullet"/>
      <w:lvlText w:val=""/>
      <w:lvlPicBulletId w:val="0"/>
      <w:lvlJc w:val="left"/>
      <w:pPr>
        <w:tabs>
          <w:tab w:val="num" w:pos="5760"/>
        </w:tabs>
        <w:ind w:left="5760" w:hanging="360"/>
      </w:pPr>
      <w:rPr>
        <w:rFonts w:ascii="Symbol" w:hAnsi="Symbol" w:hint="default"/>
      </w:rPr>
    </w:lvl>
    <w:lvl w:ilvl="8" w:tplc="776CFDA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3AF17CE5"/>
    <w:multiLevelType w:val="hybridMultilevel"/>
    <w:tmpl w:val="6DC49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5F5F96"/>
    <w:multiLevelType w:val="hybridMultilevel"/>
    <w:tmpl w:val="75665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4D3D56"/>
    <w:multiLevelType w:val="hybridMultilevel"/>
    <w:tmpl w:val="AEBE4B68"/>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9"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A2A2262"/>
    <w:multiLevelType w:val="hybridMultilevel"/>
    <w:tmpl w:val="6436C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F2BFF"/>
    <w:multiLevelType w:val="hybridMultilevel"/>
    <w:tmpl w:val="028AC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1643F9"/>
    <w:multiLevelType w:val="hybridMultilevel"/>
    <w:tmpl w:val="CB5898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643403D"/>
    <w:multiLevelType w:val="hybridMultilevel"/>
    <w:tmpl w:val="32AC7B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7F66D0D"/>
    <w:multiLevelType w:val="hybridMultilevel"/>
    <w:tmpl w:val="0658E1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ED18BC"/>
    <w:multiLevelType w:val="multilevel"/>
    <w:tmpl w:val="83003B6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D3941D2"/>
    <w:multiLevelType w:val="hybridMultilevel"/>
    <w:tmpl w:val="CD12AB9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EB82E76"/>
    <w:multiLevelType w:val="hybridMultilevel"/>
    <w:tmpl w:val="AE9C208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
  </w:num>
  <w:num w:numId="2">
    <w:abstractNumId w:val="23"/>
  </w:num>
  <w:num w:numId="3">
    <w:abstractNumId w:val="17"/>
  </w:num>
  <w:num w:numId="4">
    <w:abstractNumId w:val="20"/>
  </w:num>
  <w:num w:numId="5">
    <w:abstractNumId w:val="11"/>
  </w:num>
  <w:num w:numId="6">
    <w:abstractNumId w:val="22"/>
  </w:num>
  <w:num w:numId="7">
    <w:abstractNumId w:val="27"/>
  </w:num>
  <w:num w:numId="8">
    <w:abstractNumId w:val="12"/>
  </w:num>
  <w:num w:numId="9">
    <w:abstractNumId w:val="9"/>
  </w:num>
  <w:num w:numId="10">
    <w:abstractNumId w:val="2"/>
  </w:num>
  <w:num w:numId="11">
    <w:abstractNumId w:val="1"/>
  </w:num>
  <w:num w:numId="12">
    <w:abstractNumId w:val="0"/>
  </w:num>
  <w:num w:numId="13">
    <w:abstractNumId w:val="24"/>
  </w:num>
  <w:num w:numId="14">
    <w:abstractNumId w:val="15"/>
  </w:num>
  <w:num w:numId="15">
    <w:abstractNumId w:val="16"/>
  </w:num>
  <w:num w:numId="16">
    <w:abstractNumId w:val="25"/>
  </w:num>
  <w:num w:numId="17">
    <w:abstractNumId w:val="6"/>
  </w:num>
  <w:num w:numId="18">
    <w:abstractNumId w:val="35"/>
  </w:num>
  <w:num w:numId="19">
    <w:abstractNumId w:val="13"/>
  </w:num>
  <w:num w:numId="20">
    <w:abstractNumId w:val="8"/>
  </w:num>
  <w:num w:numId="21">
    <w:abstractNumId w:val="4"/>
  </w:num>
  <w:num w:numId="22">
    <w:abstractNumId w:val="28"/>
  </w:num>
  <w:num w:numId="23">
    <w:abstractNumId w:val="10"/>
  </w:num>
  <w:num w:numId="24">
    <w:abstractNumId w:val="26"/>
  </w:num>
  <w:num w:numId="25">
    <w:abstractNumId w:val="19"/>
  </w:num>
  <w:num w:numId="26">
    <w:abstractNumId w:val="37"/>
  </w:num>
  <w:num w:numId="27">
    <w:abstractNumId w:val="34"/>
  </w:num>
  <w:num w:numId="28">
    <w:abstractNumId w:val="5"/>
  </w:num>
  <w:num w:numId="29">
    <w:abstractNumId w:val="36"/>
  </w:num>
  <w:num w:numId="30">
    <w:abstractNumId w:val="18"/>
  </w:num>
  <w:num w:numId="31">
    <w:abstractNumId w:val="31"/>
  </w:num>
  <w:num w:numId="32">
    <w:abstractNumId w:val="33"/>
  </w:num>
  <w:num w:numId="33">
    <w:abstractNumId w:val="32"/>
  </w:num>
  <w:num w:numId="34">
    <w:abstractNumId w:val="14"/>
  </w:num>
  <w:num w:numId="35">
    <w:abstractNumId w:val="30"/>
  </w:num>
  <w:num w:numId="36">
    <w:abstractNumId w:val="21"/>
  </w:num>
  <w:num w:numId="37">
    <w:abstractNumId w:val="29"/>
  </w:num>
  <w:num w:numId="38">
    <w:abstractNumId w:val="21"/>
  </w:num>
  <w:num w:numId="39">
    <w:abstractNumId w:val="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0702"/>
    <w:rsid w:val="00000E42"/>
    <w:rsid w:val="00002A37"/>
    <w:rsid w:val="00003F5E"/>
    <w:rsid w:val="00006446"/>
    <w:rsid w:val="00006896"/>
    <w:rsid w:val="00007CDC"/>
    <w:rsid w:val="00011B28"/>
    <w:rsid w:val="00015D15"/>
    <w:rsid w:val="0002225F"/>
    <w:rsid w:val="0002564D"/>
    <w:rsid w:val="00025ECA"/>
    <w:rsid w:val="000265C9"/>
    <w:rsid w:val="00026925"/>
    <w:rsid w:val="00030B30"/>
    <w:rsid w:val="000325B8"/>
    <w:rsid w:val="00034C15"/>
    <w:rsid w:val="00036BA1"/>
    <w:rsid w:val="00037459"/>
    <w:rsid w:val="00037D36"/>
    <w:rsid w:val="00042009"/>
    <w:rsid w:val="000422E2"/>
    <w:rsid w:val="00042F22"/>
    <w:rsid w:val="000444EF"/>
    <w:rsid w:val="00052A07"/>
    <w:rsid w:val="000534E3"/>
    <w:rsid w:val="0005606A"/>
    <w:rsid w:val="00057117"/>
    <w:rsid w:val="000616E7"/>
    <w:rsid w:val="0006487E"/>
    <w:rsid w:val="00065E1A"/>
    <w:rsid w:val="00073113"/>
    <w:rsid w:val="00077B3E"/>
    <w:rsid w:val="00077E5F"/>
    <w:rsid w:val="0008036A"/>
    <w:rsid w:val="00081AE6"/>
    <w:rsid w:val="000855EB"/>
    <w:rsid w:val="00085B52"/>
    <w:rsid w:val="000866F2"/>
    <w:rsid w:val="0009009F"/>
    <w:rsid w:val="00091557"/>
    <w:rsid w:val="000924C1"/>
    <w:rsid w:val="000924F0"/>
    <w:rsid w:val="00092C4D"/>
    <w:rsid w:val="00093474"/>
    <w:rsid w:val="000937FE"/>
    <w:rsid w:val="0009510F"/>
    <w:rsid w:val="000A1B7B"/>
    <w:rsid w:val="000A56F2"/>
    <w:rsid w:val="000B0043"/>
    <w:rsid w:val="000B2719"/>
    <w:rsid w:val="000B3A8F"/>
    <w:rsid w:val="000B4AB9"/>
    <w:rsid w:val="000B58C3"/>
    <w:rsid w:val="000B61E9"/>
    <w:rsid w:val="000C165A"/>
    <w:rsid w:val="000C2E19"/>
    <w:rsid w:val="000C3273"/>
    <w:rsid w:val="000C4C24"/>
    <w:rsid w:val="000C5921"/>
    <w:rsid w:val="000D0D07"/>
    <w:rsid w:val="000D1188"/>
    <w:rsid w:val="000D2E34"/>
    <w:rsid w:val="000D4797"/>
    <w:rsid w:val="000D4F2B"/>
    <w:rsid w:val="000E0527"/>
    <w:rsid w:val="000E142F"/>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B0D"/>
    <w:rsid w:val="0012377F"/>
    <w:rsid w:val="00124314"/>
    <w:rsid w:val="00126B4A"/>
    <w:rsid w:val="00132FD0"/>
    <w:rsid w:val="0013345B"/>
    <w:rsid w:val="001344C0"/>
    <w:rsid w:val="001346FA"/>
    <w:rsid w:val="00135252"/>
    <w:rsid w:val="00137AB5"/>
    <w:rsid w:val="00137F0B"/>
    <w:rsid w:val="00151E23"/>
    <w:rsid w:val="001526E0"/>
    <w:rsid w:val="0015373E"/>
    <w:rsid w:val="001551B5"/>
    <w:rsid w:val="001562D8"/>
    <w:rsid w:val="00163058"/>
    <w:rsid w:val="001659C1"/>
    <w:rsid w:val="00173A8E"/>
    <w:rsid w:val="00174370"/>
    <w:rsid w:val="0018143F"/>
    <w:rsid w:val="00184D61"/>
    <w:rsid w:val="00187A8F"/>
    <w:rsid w:val="00190AC1"/>
    <w:rsid w:val="0019341A"/>
    <w:rsid w:val="00197DF9"/>
    <w:rsid w:val="001A1987"/>
    <w:rsid w:val="001A2564"/>
    <w:rsid w:val="001A6173"/>
    <w:rsid w:val="001A64F5"/>
    <w:rsid w:val="001A6CBA"/>
    <w:rsid w:val="001B0D97"/>
    <w:rsid w:val="001B165A"/>
    <w:rsid w:val="001B5A08"/>
    <w:rsid w:val="001B5A5D"/>
    <w:rsid w:val="001C1CE5"/>
    <w:rsid w:val="001C3D2A"/>
    <w:rsid w:val="001D3B24"/>
    <w:rsid w:val="001D51BA"/>
    <w:rsid w:val="001D6342"/>
    <w:rsid w:val="001D6D53"/>
    <w:rsid w:val="001E0A03"/>
    <w:rsid w:val="001E22B7"/>
    <w:rsid w:val="001E2560"/>
    <w:rsid w:val="001E2C82"/>
    <w:rsid w:val="001E3B2E"/>
    <w:rsid w:val="001E58E2"/>
    <w:rsid w:val="001E71F0"/>
    <w:rsid w:val="001E7AED"/>
    <w:rsid w:val="001F3916"/>
    <w:rsid w:val="001F54C5"/>
    <w:rsid w:val="001F662C"/>
    <w:rsid w:val="001F7074"/>
    <w:rsid w:val="00200490"/>
    <w:rsid w:val="002019A0"/>
    <w:rsid w:val="00201F3A"/>
    <w:rsid w:val="002026AF"/>
    <w:rsid w:val="00203F96"/>
    <w:rsid w:val="002069B2"/>
    <w:rsid w:val="00207FA3"/>
    <w:rsid w:val="00210169"/>
    <w:rsid w:val="00214AC3"/>
    <w:rsid w:val="00214DA8"/>
    <w:rsid w:val="00215423"/>
    <w:rsid w:val="002158FA"/>
    <w:rsid w:val="00217957"/>
    <w:rsid w:val="00220600"/>
    <w:rsid w:val="00220DD8"/>
    <w:rsid w:val="002224DB"/>
    <w:rsid w:val="00223FCB"/>
    <w:rsid w:val="002252C3"/>
    <w:rsid w:val="00225C54"/>
    <w:rsid w:val="00230765"/>
    <w:rsid w:val="00230E5F"/>
    <w:rsid w:val="002319E4"/>
    <w:rsid w:val="00235632"/>
    <w:rsid w:val="00235872"/>
    <w:rsid w:val="00241559"/>
    <w:rsid w:val="002435B3"/>
    <w:rsid w:val="002451ED"/>
    <w:rsid w:val="002458EB"/>
    <w:rsid w:val="002500C8"/>
    <w:rsid w:val="00256429"/>
    <w:rsid w:val="00256E87"/>
    <w:rsid w:val="00257543"/>
    <w:rsid w:val="00260275"/>
    <w:rsid w:val="002611E7"/>
    <w:rsid w:val="002617E7"/>
    <w:rsid w:val="00264228"/>
    <w:rsid w:val="00264334"/>
    <w:rsid w:val="0026473E"/>
    <w:rsid w:val="00264C20"/>
    <w:rsid w:val="00266214"/>
    <w:rsid w:val="00267C83"/>
    <w:rsid w:val="0027144F"/>
    <w:rsid w:val="00271813"/>
    <w:rsid w:val="00271F3A"/>
    <w:rsid w:val="00273278"/>
    <w:rsid w:val="002737F4"/>
    <w:rsid w:val="002805F5"/>
    <w:rsid w:val="00280751"/>
    <w:rsid w:val="0028280A"/>
    <w:rsid w:val="00286ACD"/>
    <w:rsid w:val="00287838"/>
    <w:rsid w:val="00290691"/>
    <w:rsid w:val="002907B5"/>
    <w:rsid w:val="00290D9F"/>
    <w:rsid w:val="00292EB7"/>
    <w:rsid w:val="00296227"/>
    <w:rsid w:val="00296F44"/>
    <w:rsid w:val="0029777D"/>
    <w:rsid w:val="002A055E"/>
    <w:rsid w:val="002A1D4E"/>
    <w:rsid w:val="002A2869"/>
    <w:rsid w:val="002B24D6"/>
    <w:rsid w:val="002C41E6"/>
    <w:rsid w:val="002C7AC2"/>
    <w:rsid w:val="002D071A"/>
    <w:rsid w:val="002D34B2"/>
    <w:rsid w:val="002D7637"/>
    <w:rsid w:val="002E17F2"/>
    <w:rsid w:val="002E7464"/>
    <w:rsid w:val="002E7CAE"/>
    <w:rsid w:val="002F2771"/>
    <w:rsid w:val="002F37A9"/>
    <w:rsid w:val="002F6288"/>
    <w:rsid w:val="00301CE6"/>
    <w:rsid w:val="0030256B"/>
    <w:rsid w:val="003031E7"/>
    <w:rsid w:val="0030501F"/>
    <w:rsid w:val="00307BA1"/>
    <w:rsid w:val="00311702"/>
    <w:rsid w:val="00311E82"/>
    <w:rsid w:val="00313FD6"/>
    <w:rsid w:val="003143BD"/>
    <w:rsid w:val="003203ED"/>
    <w:rsid w:val="00322C9F"/>
    <w:rsid w:val="00324D23"/>
    <w:rsid w:val="00326806"/>
    <w:rsid w:val="00327997"/>
    <w:rsid w:val="00331751"/>
    <w:rsid w:val="00331B7B"/>
    <w:rsid w:val="00334579"/>
    <w:rsid w:val="00335201"/>
    <w:rsid w:val="00335858"/>
    <w:rsid w:val="00336BDA"/>
    <w:rsid w:val="00341611"/>
    <w:rsid w:val="00342BD7"/>
    <w:rsid w:val="00346DB5"/>
    <w:rsid w:val="003477B1"/>
    <w:rsid w:val="003502B7"/>
    <w:rsid w:val="00356A14"/>
    <w:rsid w:val="00357380"/>
    <w:rsid w:val="003602D9"/>
    <w:rsid w:val="003604CE"/>
    <w:rsid w:val="00362AC6"/>
    <w:rsid w:val="00370E47"/>
    <w:rsid w:val="003742AC"/>
    <w:rsid w:val="00374ADB"/>
    <w:rsid w:val="00375695"/>
    <w:rsid w:val="00376025"/>
    <w:rsid w:val="00377CE1"/>
    <w:rsid w:val="00385BF0"/>
    <w:rsid w:val="003862B1"/>
    <w:rsid w:val="00392A27"/>
    <w:rsid w:val="003939FF"/>
    <w:rsid w:val="00394E14"/>
    <w:rsid w:val="003A0E41"/>
    <w:rsid w:val="003A2223"/>
    <w:rsid w:val="003A2A0F"/>
    <w:rsid w:val="003A45A1"/>
    <w:rsid w:val="003A5B0A"/>
    <w:rsid w:val="003A6BAC"/>
    <w:rsid w:val="003A7EF3"/>
    <w:rsid w:val="003B159C"/>
    <w:rsid w:val="003B369F"/>
    <w:rsid w:val="003B36A3"/>
    <w:rsid w:val="003B7FE5"/>
    <w:rsid w:val="003C11C8"/>
    <w:rsid w:val="003C2702"/>
    <w:rsid w:val="003C3E55"/>
    <w:rsid w:val="003C7806"/>
    <w:rsid w:val="003D109F"/>
    <w:rsid w:val="003D2478"/>
    <w:rsid w:val="003D25EF"/>
    <w:rsid w:val="003D3C45"/>
    <w:rsid w:val="003D5B1F"/>
    <w:rsid w:val="003D7D64"/>
    <w:rsid w:val="003E15FA"/>
    <w:rsid w:val="003E55E4"/>
    <w:rsid w:val="003E74E3"/>
    <w:rsid w:val="003F002B"/>
    <w:rsid w:val="003F05C7"/>
    <w:rsid w:val="003F2CD4"/>
    <w:rsid w:val="003F62AF"/>
    <w:rsid w:val="003F6BBE"/>
    <w:rsid w:val="003F7C5F"/>
    <w:rsid w:val="004000E8"/>
    <w:rsid w:val="00402E2B"/>
    <w:rsid w:val="004033B5"/>
    <w:rsid w:val="00403673"/>
    <w:rsid w:val="004050EA"/>
    <w:rsid w:val="0040512B"/>
    <w:rsid w:val="00405CA5"/>
    <w:rsid w:val="00407CD3"/>
    <w:rsid w:val="00410134"/>
    <w:rsid w:val="00410B72"/>
    <w:rsid w:val="00410F18"/>
    <w:rsid w:val="00411A71"/>
    <w:rsid w:val="0041263E"/>
    <w:rsid w:val="00413AAC"/>
    <w:rsid w:val="00413E92"/>
    <w:rsid w:val="00421105"/>
    <w:rsid w:val="004242F4"/>
    <w:rsid w:val="00427248"/>
    <w:rsid w:val="00433384"/>
    <w:rsid w:val="00437447"/>
    <w:rsid w:val="00441782"/>
    <w:rsid w:val="00441A92"/>
    <w:rsid w:val="00444F56"/>
    <w:rsid w:val="00446488"/>
    <w:rsid w:val="004517AA"/>
    <w:rsid w:val="00452CAC"/>
    <w:rsid w:val="00454CD8"/>
    <w:rsid w:val="00457565"/>
    <w:rsid w:val="00457B71"/>
    <w:rsid w:val="00457DC8"/>
    <w:rsid w:val="00465ABC"/>
    <w:rsid w:val="004669E2"/>
    <w:rsid w:val="00470C31"/>
    <w:rsid w:val="004734D0"/>
    <w:rsid w:val="0047556B"/>
    <w:rsid w:val="00477768"/>
    <w:rsid w:val="004904E1"/>
    <w:rsid w:val="00492BC5"/>
    <w:rsid w:val="004964F1"/>
    <w:rsid w:val="004A16BC"/>
    <w:rsid w:val="004A2B94"/>
    <w:rsid w:val="004B7C0C"/>
    <w:rsid w:val="004C3898"/>
    <w:rsid w:val="004C653E"/>
    <w:rsid w:val="004D36B1"/>
    <w:rsid w:val="004D3E22"/>
    <w:rsid w:val="004D7EBD"/>
    <w:rsid w:val="004E2680"/>
    <w:rsid w:val="004E28F9"/>
    <w:rsid w:val="004E3032"/>
    <w:rsid w:val="004E462E"/>
    <w:rsid w:val="004E56DC"/>
    <w:rsid w:val="004E76F4"/>
    <w:rsid w:val="004F0B4E"/>
    <w:rsid w:val="004F0B6C"/>
    <w:rsid w:val="004F2078"/>
    <w:rsid w:val="004F4807"/>
    <w:rsid w:val="004F4DA3"/>
    <w:rsid w:val="0050290E"/>
    <w:rsid w:val="00504510"/>
    <w:rsid w:val="00506557"/>
    <w:rsid w:val="0050677A"/>
    <w:rsid w:val="005108D8"/>
    <w:rsid w:val="005116F9"/>
    <w:rsid w:val="005153A7"/>
    <w:rsid w:val="005169B0"/>
    <w:rsid w:val="00516F1F"/>
    <w:rsid w:val="0051799E"/>
    <w:rsid w:val="005219CF"/>
    <w:rsid w:val="005243A2"/>
    <w:rsid w:val="00530A03"/>
    <w:rsid w:val="00534B59"/>
    <w:rsid w:val="00536759"/>
    <w:rsid w:val="00537C62"/>
    <w:rsid w:val="0054436F"/>
    <w:rsid w:val="005446B5"/>
    <w:rsid w:val="00546293"/>
    <w:rsid w:val="00546970"/>
    <w:rsid w:val="00550D87"/>
    <w:rsid w:val="00552E63"/>
    <w:rsid w:val="00554192"/>
    <w:rsid w:val="00554E19"/>
    <w:rsid w:val="0056121F"/>
    <w:rsid w:val="00572505"/>
    <w:rsid w:val="00575DA6"/>
    <w:rsid w:val="005765CB"/>
    <w:rsid w:val="005769C2"/>
    <w:rsid w:val="00582809"/>
    <w:rsid w:val="00583D71"/>
    <w:rsid w:val="0058569E"/>
    <w:rsid w:val="0058798C"/>
    <w:rsid w:val="005900FA"/>
    <w:rsid w:val="005935A4"/>
    <w:rsid w:val="005948C2"/>
    <w:rsid w:val="00595DCA"/>
    <w:rsid w:val="0059779B"/>
    <w:rsid w:val="005A209A"/>
    <w:rsid w:val="005A5716"/>
    <w:rsid w:val="005A662D"/>
    <w:rsid w:val="005B35D7"/>
    <w:rsid w:val="005B392A"/>
    <w:rsid w:val="005B3AA3"/>
    <w:rsid w:val="005B6F83"/>
    <w:rsid w:val="005C6DD7"/>
    <w:rsid w:val="005C74FB"/>
    <w:rsid w:val="005D1602"/>
    <w:rsid w:val="005D3F5A"/>
    <w:rsid w:val="005D46C0"/>
    <w:rsid w:val="005E385F"/>
    <w:rsid w:val="005E5B81"/>
    <w:rsid w:val="005E6FAC"/>
    <w:rsid w:val="005F2CB1"/>
    <w:rsid w:val="005F3025"/>
    <w:rsid w:val="005F618C"/>
    <w:rsid w:val="005F70BD"/>
    <w:rsid w:val="0060283C"/>
    <w:rsid w:val="00604F14"/>
    <w:rsid w:val="0061075A"/>
    <w:rsid w:val="00611B83"/>
    <w:rsid w:val="00613257"/>
    <w:rsid w:val="00616640"/>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3E1"/>
    <w:rsid w:val="00650AB9"/>
    <w:rsid w:val="00654F12"/>
    <w:rsid w:val="00655733"/>
    <w:rsid w:val="00655ACD"/>
    <w:rsid w:val="00656A92"/>
    <w:rsid w:val="00656DDE"/>
    <w:rsid w:val="0066011D"/>
    <w:rsid w:val="006607C0"/>
    <w:rsid w:val="006613A6"/>
    <w:rsid w:val="006627A2"/>
    <w:rsid w:val="006634E6"/>
    <w:rsid w:val="006655EE"/>
    <w:rsid w:val="00666240"/>
    <w:rsid w:val="00667EE7"/>
    <w:rsid w:val="00670922"/>
    <w:rsid w:val="00670BE1"/>
    <w:rsid w:val="0067218F"/>
    <w:rsid w:val="006741F2"/>
    <w:rsid w:val="00674CC3"/>
    <w:rsid w:val="00675C72"/>
    <w:rsid w:val="006771F9"/>
    <w:rsid w:val="006776D7"/>
    <w:rsid w:val="00677B31"/>
    <w:rsid w:val="00681003"/>
    <w:rsid w:val="006817C9"/>
    <w:rsid w:val="00683685"/>
    <w:rsid w:val="00683ECE"/>
    <w:rsid w:val="00692FCC"/>
    <w:rsid w:val="00695FC2"/>
    <w:rsid w:val="00696949"/>
    <w:rsid w:val="00697052"/>
    <w:rsid w:val="006A46FB"/>
    <w:rsid w:val="006A5E28"/>
    <w:rsid w:val="006A6585"/>
    <w:rsid w:val="006A697B"/>
    <w:rsid w:val="006A7AFF"/>
    <w:rsid w:val="006B0E7D"/>
    <w:rsid w:val="006B1816"/>
    <w:rsid w:val="006B2099"/>
    <w:rsid w:val="006B4EC5"/>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1FC1"/>
    <w:rsid w:val="006F341D"/>
    <w:rsid w:val="006F3CDE"/>
    <w:rsid w:val="006F58D4"/>
    <w:rsid w:val="00700788"/>
    <w:rsid w:val="0070346E"/>
    <w:rsid w:val="00703CB1"/>
    <w:rsid w:val="00704EDB"/>
    <w:rsid w:val="00706066"/>
    <w:rsid w:val="00706101"/>
    <w:rsid w:val="00707072"/>
    <w:rsid w:val="00707827"/>
    <w:rsid w:val="00707D61"/>
    <w:rsid w:val="00712287"/>
    <w:rsid w:val="00712772"/>
    <w:rsid w:val="007148D3"/>
    <w:rsid w:val="00715B9A"/>
    <w:rsid w:val="007252A2"/>
    <w:rsid w:val="007259A1"/>
    <w:rsid w:val="00726EA6"/>
    <w:rsid w:val="00727208"/>
    <w:rsid w:val="00727680"/>
    <w:rsid w:val="007348B1"/>
    <w:rsid w:val="00735C95"/>
    <w:rsid w:val="007362A6"/>
    <w:rsid w:val="00736D38"/>
    <w:rsid w:val="00736D7D"/>
    <w:rsid w:val="00737FB0"/>
    <w:rsid w:val="00740E58"/>
    <w:rsid w:val="00740F34"/>
    <w:rsid w:val="007414DC"/>
    <w:rsid w:val="00743D20"/>
    <w:rsid w:val="007445A0"/>
    <w:rsid w:val="0074524B"/>
    <w:rsid w:val="0074573B"/>
    <w:rsid w:val="00746A5A"/>
    <w:rsid w:val="00747D8B"/>
    <w:rsid w:val="00751228"/>
    <w:rsid w:val="007571E1"/>
    <w:rsid w:val="007604B2"/>
    <w:rsid w:val="00760B0D"/>
    <w:rsid w:val="00763087"/>
    <w:rsid w:val="00765281"/>
    <w:rsid w:val="00766BAD"/>
    <w:rsid w:val="007755F2"/>
    <w:rsid w:val="00776971"/>
    <w:rsid w:val="00777D37"/>
    <w:rsid w:val="0078177E"/>
    <w:rsid w:val="0078304C"/>
    <w:rsid w:val="00783673"/>
    <w:rsid w:val="00785490"/>
    <w:rsid w:val="00786C07"/>
    <w:rsid w:val="00790B99"/>
    <w:rsid w:val="007922F1"/>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5408"/>
    <w:rsid w:val="007C60BF"/>
    <w:rsid w:val="007C6A07"/>
    <w:rsid w:val="007C75A1"/>
    <w:rsid w:val="007C77A5"/>
    <w:rsid w:val="007D04E5"/>
    <w:rsid w:val="007D5901"/>
    <w:rsid w:val="007D7526"/>
    <w:rsid w:val="007E2296"/>
    <w:rsid w:val="007E4610"/>
    <w:rsid w:val="007E4715"/>
    <w:rsid w:val="007E4C29"/>
    <w:rsid w:val="007E505B"/>
    <w:rsid w:val="007E7091"/>
    <w:rsid w:val="007F4089"/>
    <w:rsid w:val="007F6673"/>
    <w:rsid w:val="007F75D5"/>
    <w:rsid w:val="00803FAE"/>
    <w:rsid w:val="0080605F"/>
    <w:rsid w:val="00806EE7"/>
    <w:rsid w:val="008072ED"/>
    <w:rsid w:val="00807786"/>
    <w:rsid w:val="00811FCB"/>
    <w:rsid w:val="008152A5"/>
    <w:rsid w:val="008158D6"/>
    <w:rsid w:val="00817196"/>
    <w:rsid w:val="008235DB"/>
    <w:rsid w:val="00824AB4"/>
    <w:rsid w:val="00825C42"/>
    <w:rsid w:val="00825D25"/>
    <w:rsid w:val="00827D6F"/>
    <w:rsid w:val="0083648A"/>
    <w:rsid w:val="008376AC"/>
    <w:rsid w:val="008444E8"/>
    <w:rsid w:val="00844E80"/>
    <w:rsid w:val="00846FE7"/>
    <w:rsid w:val="00850FCB"/>
    <w:rsid w:val="00851410"/>
    <w:rsid w:val="00851CB6"/>
    <w:rsid w:val="008526CA"/>
    <w:rsid w:val="00853996"/>
    <w:rsid w:val="00855FA6"/>
    <w:rsid w:val="00856911"/>
    <w:rsid w:val="00857A24"/>
    <w:rsid w:val="00860A2F"/>
    <w:rsid w:val="008677FD"/>
    <w:rsid w:val="008706D4"/>
    <w:rsid w:val="00870F8A"/>
    <w:rsid w:val="008719A4"/>
    <w:rsid w:val="00871D23"/>
    <w:rsid w:val="00874312"/>
    <w:rsid w:val="0087437C"/>
    <w:rsid w:val="00875CD7"/>
    <w:rsid w:val="00876B4D"/>
    <w:rsid w:val="00877F18"/>
    <w:rsid w:val="008863CD"/>
    <w:rsid w:val="00892DE9"/>
    <w:rsid w:val="008940FE"/>
    <w:rsid w:val="00894A88"/>
    <w:rsid w:val="00895386"/>
    <w:rsid w:val="008A21FF"/>
    <w:rsid w:val="008A2CE2"/>
    <w:rsid w:val="008A30AC"/>
    <w:rsid w:val="008A44B8"/>
    <w:rsid w:val="008A51A8"/>
    <w:rsid w:val="008A54C7"/>
    <w:rsid w:val="008A77D8"/>
    <w:rsid w:val="008B0483"/>
    <w:rsid w:val="008B120C"/>
    <w:rsid w:val="008B3D4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C86"/>
    <w:rsid w:val="008F1EAB"/>
    <w:rsid w:val="008F33DC"/>
    <w:rsid w:val="008F477F"/>
    <w:rsid w:val="008F5698"/>
    <w:rsid w:val="00902350"/>
    <w:rsid w:val="0090336B"/>
    <w:rsid w:val="009050D3"/>
    <w:rsid w:val="009050F0"/>
    <w:rsid w:val="009053AA"/>
    <w:rsid w:val="00906939"/>
    <w:rsid w:val="00910B7D"/>
    <w:rsid w:val="00911DFB"/>
    <w:rsid w:val="0091391E"/>
    <w:rsid w:val="009139D9"/>
    <w:rsid w:val="00914AD8"/>
    <w:rsid w:val="00916079"/>
    <w:rsid w:val="00917CE9"/>
    <w:rsid w:val="00920BF2"/>
    <w:rsid w:val="00922010"/>
    <w:rsid w:val="009241CF"/>
    <w:rsid w:val="00931BD9"/>
    <w:rsid w:val="00935739"/>
    <w:rsid w:val="009368F3"/>
    <w:rsid w:val="00941636"/>
    <w:rsid w:val="0094194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48E3"/>
    <w:rsid w:val="00985253"/>
    <w:rsid w:val="009853B3"/>
    <w:rsid w:val="00985BFD"/>
    <w:rsid w:val="00985D16"/>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0CE"/>
    <w:rsid w:val="009B564E"/>
    <w:rsid w:val="009B62AA"/>
    <w:rsid w:val="009B7E87"/>
    <w:rsid w:val="009C403E"/>
    <w:rsid w:val="009C6832"/>
    <w:rsid w:val="009D4FF0"/>
    <w:rsid w:val="009D703C"/>
    <w:rsid w:val="009D718F"/>
    <w:rsid w:val="009E068F"/>
    <w:rsid w:val="009E14E0"/>
    <w:rsid w:val="009E35DB"/>
    <w:rsid w:val="009E47A3"/>
    <w:rsid w:val="009F08F3"/>
    <w:rsid w:val="009F344F"/>
    <w:rsid w:val="009F5223"/>
    <w:rsid w:val="00A031D8"/>
    <w:rsid w:val="00A048A8"/>
    <w:rsid w:val="00A04F49"/>
    <w:rsid w:val="00A1207A"/>
    <w:rsid w:val="00A13E54"/>
    <w:rsid w:val="00A15745"/>
    <w:rsid w:val="00A17F63"/>
    <w:rsid w:val="00A2193B"/>
    <w:rsid w:val="00A2351A"/>
    <w:rsid w:val="00A25540"/>
    <w:rsid w:val="00A264A9"/>
    <w:rsid w:val="00A27785"/>
    <w:rsid w:val="00A30187"/>
    <w:rsid w:val="00A3114C"/>
    <w:rsid w:val="00A3360E"/>
    <w:rsid w:val="00A3448A"/>
    <w:rsid w:val="00A36297"/>
    <w:rsid w:val="00A41E2B"/>
    <w:rsid w:val="00A45B74"/>
    <w:rsid w:val="00A52E1D"/>
    <w:rsid w:val="00A61499"/>
    <w:rsid w:val="00A62A77"/>
    <w:rsid w:val="00A63483"/>
    <w:rsid w:val="00A63577"/>
    <w:rsid w:val="00A657D7"/>
    <w:rsid w:val="00A660AC"/>
    <w:rsid w:val="00A67C2A"/>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0AB1"/>
    <w:rsid w:val="00AC0ED0"/>
    <w:rsid w:val="00AC2ECD"/>
    <w:rsid w:val="00AC3119"/>
    <w:rsid w:val="00AC49FB"/>
    <w:rsid w:val="00AC5A10"/>
    <w:rsid w:val="00AC7789"/>
    <w:rsid w:val="00AD0A71"/>
    <w:rsid w:val="00AD0AA3"/>
    <w:rsid w:val="00AD3D56"/>
    <w:rsid w:val="00AD3F94"/>
    <w:rsid w:val="00AD4A5A"/>
    <w:rsid w:val="00AD7D2C"/>
    <w:rsid w:val="00AE27AC"/>
    <w:rsid w:val="00AE2FEB"/>
    <w:rsid w:val="00AE40E0"/>
    <w:rsid w:val="00AE4DBA"/>
    <w:rsid w:val="00AE4F07"/>
    <w:rsid w:val="00AE5863"/>
    <w:rsid w:val="00AE64AE"/>
    <w:rsid w:val="00AF0198"/>
    <w:rsid w:val="00AF1C5D"/>
    <w:rsid w:val="00AF42D7"/>
    <w:rsid w:val="00AF4F16"/>
    <w:rsid w:val="00B006FE"/>
    <w:rsid w:val="00B007CB"/>
    <w:rsid w:val="00B02AA9"/>
    <w:rsid w:val="00B02FA3"/>
    <w:rsid w:val="00B03374"/>
    <w:rsid w:val="00B05084"/>
    <w:rsid w:val="00B157F9"/>
    <w:rsid w:val="00B20256"/>
    <w:rsid w:val="00B20D09"/>
    <w:rsid w:val="00B2763F"/>
    <w:rsid w:val="00B27AAC"/>
    <w:rsid w:val="00B30929"/>
    <w:rsid w:val="00B36AE6"/>
    <w:rsid w:val="00B372AA"/>
    <w:rsid w:val="00B40445"/>
    <w:rsid w:val="00B41888"/>
    <w:rsid w:val="00B45A52"/>
    <w:rsid w:val="00B46175"/>
    <w:rsid w:val="00B52D13"/>
    <w:rsid w:val="00B53992"/>
    <w:rsid w:val="00B664C7"/>
    <w:rsid w:val="00B739F6"/>
    <w:rsid w:val="00B75A51"/>
    <w:rsid w:val="00B81A6C"/>
    <w:rsid w:val="00B850C6"/>
    <w:rsid w:val="00B85DE5"/>
    <w:rsid w:val="00B90F73"/>
    <w:rsid w:val="00B93B59"/>
    <w:rsid w:val="00B9406A"/>
    <w:rsid w:val="00B9587A"/>
    <w:rsid w:val="00BA2280"/>
    <w:rsid w:val="00BA2A08"/>
    <w:rsid w:val="00BA56D2"/>
    <w:rsid w:val="00BA76E0"/>
    <w:rsid w:val="00BB2A25"/>
    <w:rsid w:val="00BB51E9"/>
    <w:rsid w:val="00BC0FDC"/>
    <w:rsid w:val="00BC3053"/>
    <w:rsid w:val="00BC4AE7"/>
    <w:rsid w:val="00BC4D2E"/>
    <w:rsid w:val="00BD4290"/>
    <w:rsid w:val="00BD48AC"/>
    <w:rsid w:val="00BD5F1A"/>
    <w:rsid w:val="00BD7F6D"/>
    <w:rsid w:val="00BE1234"/>
    <w:rsid w:val="00BE1F26"/>
    <w:rsid w:val="00BE2FA6"/>
    <w:rsid w:val="00BE333F"/>
    <w:rsid w:val="00BE7406"/>
    <w:rsid w:val="00BE7603"/>
    <w:rsid w:val="00BF3279"/>
    <w:rsid w:val="00BF74C7"/>
    <w:rsid w:val="00BF7642"/>
    <w:rsid w:val="00C009A1"/>
    <w:rsid w:val="00C015F1"/>
    <w:rsid w:val="00C01F33"/>
    <w:rsid w:val="00C023A1"/>
    <w:rsid w:val="00C02A4C"/>
    <w:rsid w:val="00C02CC6"/>
    <w:rsid w:val="00C03B43"/>
    <w:rsid w:val="00C040F7"/>
    <w:rsid w:val="00C044AB"/>
    <w:rsid w:val="00C05706"/>
    <w:rsid w:val="00C06FA4"/>
    <w:rsid w:val="00C07377"/>
    <w:rsid w:val="00C10478"/>
    <w:rsid w:val="00C12107"/>
    <w:rsid w:val="00C123FD"/>
    <w:rsid w:val="00C130C1"/>
    <w:rsid w:val="00C14D4B"/>
    <w:rsid w:val="00C154BB"/>
    <w:rsid w:val="00C279B5"/>
    <w:rsid w:val="00C27C45"/>
    <w:rsid w:val="00C32F1D"/>
    <w:rsid w:val="00C3719D"/>
    <w:rsid w:val="00C41ABA"/>
    <w:rsid w:val="00C42A40"/>
    <w:rsid w:val="00C472BD"/>
    <w:rsid w:val="00C54995"/>
    <w:rsid w:val="00C54D41"/>
    <w:rsid w:val="00C60783"/>
    <w:rsid w:val="00C62F33"/>
    <w:rsid w:val="00C64672"/>
    <w:rsid w:val="00C646A4"/>
    <w:rsid w:val="00C70697"/>
    <w:rsid w:val="00C72EF4"/>
    <w:rsid w:val="00C75D2F"/>
    <w:rsid w:val="00C767BE"/>
    <w:rsid w:val="00C76E3C"/>
    <w:rsid w:val="00C81568"/>
    <w:rsid w:val="00C87A52"/>
    <w:rsid w:val="00C9027A"/>
    <w:rsid w:val="00C9068E"/>
    <w:rsid w:val="00C93C4B"/>
    <w:rsid w:val="00C93CC7"/>
    <w:rsid w:val="00C944AB"/>
    <w:rsid w:val="00C95B40"/>
    <w:rsid w:val="00C97563"/>
    <w:rsid w:val="00CA0E02"/>
    <w:rsid w:val="00CA1068"/>
    <w:rsid w:val="00CA1ED8"/>
    <w:rsid w:val="00CA2417"/>
    <w:rsid w:val="00CA5465"/>
    <w:rsid w:val="00CB1F63"/>
    <w:rsid w:val="00CB226C"/>
    <w:rsid w:val="00CB7170"/>
    <w:rsid w:val="00CC040E"/>
    <w:rsid w:val="00CC111F"/>
    <w:rsid w:val="00CC2011"/>
    <w:rsid w:val="00CC3EA0"/>
    <w:rsid w:val="00CC7B45"/>
    <w:rsid w:val="00CD0D9B"/>
    <w:rsid w:val="00CD1188"/>
    <w:rsid w:val="00CD2ED1"/>
    <w:rsid w:val="00CD337B"/>
    <w:rsid w:val="00CD3B1D"/>
    <w:rsid w:val="00CE0424"/>
    <w:rsid w:val="00CE7561"/>
    <w:rsid w:val="00CF1354"/>
    <w:rsid w:val="00CF3B1F"/>
    <w:rsid w:val="00CF3BF6"/>
    <w:rsid w:val="00CF625B"/>
    <w:rsid w:val="00CF687E"/>
    <w:rsid w:val="00D0269B"/>
    <w:rsid w:val="00D0349B"/>
    <w:rsid w:val="00D10249"/>
    <w:rsid w:val="00D115C3"/>
    <w:rsid w:val="00D11897"/>
    <w:rsid w:val="00D13135"/>
    <w:rsid w:val="00D13E4E"/>
    <w:rsid w:val="00D23787"/>
    <w:rsid w:val="00D239A7"/>
    <w:rsid w:val="00D23F47"/>
    <w:rsid w:val="00D24F8E"/>
    <w:rsid w:val="00D36E71"/>
    <w:rsid w:val="00D37D87"/>
    <w:rsid w:val="00D40B33"/>
    <w:rsid w:val="00D4318F"/>
    <w:rsid w:val="00D438BF"/>
    <w:rsid w:val="00D440F8"/>
    <w:rsid w:val="00D546FF"/>
    <w:rsid w:val="00D55AD5"/>
    <w:rsid w:val="00D576CA"/>
    <w:rsid w:val="00D61AF5"/>
    <w:rsid w:val="00D641A0"/>
    <w:rsid w:val="00D652B5"/>
    <w:rsid w:val="00D66155"/>
    <w:rsid w:val="00D708B0"/>
    <w:rsid w:val="00D77B1D"/>
    <w:rsid w:val="00D77BFF"/>
    <w:rsid w:val="00D8007F"/>
    <w:rsid w:val="00D8021F"/>
    <w:rsid w:val="00D80383"/>
    <w:rsid w:val="00D823C6"/>
    <w:rsid w:val="00D86CA3"/>
    <w:rsid w:val="00D871CE"/>
    <w:rsid w:val="00D9196D"/>
    <w:rsid w:val="00D92982"/>
    <w:rsid w:val="00D95869"/>
    <w:rsid w:val="00DA1DCB"/>
    <w:rsid w:val="00DA305E"/>
    <w:rsid w:val="00DA5417"/>
    <w:rsid w:val="00DA56E8"/>
    <w:rsid w:val="00DA6580"/>
    <w:rsid w:val="00DB0A9F"/>
    <w:rsid w:val="00DB377D"/>
    <w:rsid w:val="00DC2D36"/>
    <w:rsid w:val="00DC53EF"/>
    <w:rsid w:val="00DD2441"/>
    <w:rsid w:val="00DD658C"/>
    <w:rsid w:val="00DD6D4D"/>
    <w:rsid w:val="00DE5608"/>
    <w:rsid w:val="00DE58D0"/>
    <w:rsid w:val="00DE654F"/>
    <w:rsid w:val="00DE728C"/>
    <w:rsid w:val="00DF033B"/>
    <w:rsid w:val="00DF0B6E"/>
    <w:rsid w:val="00DF1293"/>
    <w:rsid w:val="00DF15E0"/>
    <w:rsid w:val="00DF1FD5"/>
    <w:rsid w:val="00DF37A0"/>
    <w:rsid w:val="00E038C8"/>
    <w:rsid w:val="00E110E7"/>
    <w:rsid w:val="00E11B20"/>
    <w:rsid w:val="00E17FA2"/>
    <w:rsid w:val="00E22330"/>
    <w:rsid w:val="00E30B5A"/>
    <w:rsid w:val="00E3123D"/>
    <w:rsid w:val="00E31461"/>
    <w:rsid w:val="00E319EE"/>
    <w:rsid w:val="00E31D43"/>
    <w:rsid w:val="00E32608"/>
    <w:rsid w:val="00E33079"/>
    <w:rsid w:val="00E34188"/>
    <w:rsid w:val="00E34B6E"/>
    <w:rsid w:val="00E35559"/>
    <w:rsid w:val="00E3723A"/>
    <w:rsid w:val="00E37860"/>
    <w:rsid w:val="00E40FF3"/>
    <w:rsid w:val="00E4318B"/>
    <w:rsid w:val="00E446F1"/>
    <w:rsid w:val="00E46886"/>
    <w:rsid w:val="00E47AEF"/>
    <w:rsid w:val="00E53B75"/>
    <w:rsid w:val="00E54E3B"/>
    <w:rsid w:val="00E5689D"/>
    <w:rsid w:val="00E57565"/>
    <w:rsid w:val="00E63838"/>
    <w:rsid w:val="00E64434"/>
    <w:rsid w:val="00E6494B"/>
    <w:rsid w:val="00E64B80"/>
    <w:rsid w:val="00E67C51"/>
    <w:rsid w:val="00E706B6"/>
    <w:rsid w:val="00E720D8"/>
    <w:rsid w:val="00E72EFC"/>
    <w:rsid w:val="00E758EC"/>
    <w:rsid w:val="00E75D45"/>
    <w:rsid w:val="00E8234C"/>
    <w:rsid w:val="00E83AA9"/>
    <w:rsid w:val="00E85928"/>
    <w:rsid w:val="00E87822"/>
    <w:rsid w:val="00E87DF5"/>
    <w:rsid w:val="00E90395"/>
    <w:rsid w:val="00E90E49"/>
    <w:rsid w:val="00E917F9"/>
    <w:rsid w:val="00E9291C"/>
    <w:rsid w:val="00E93FFE"/>
    <w:rsid w:val="00E9476E"/>
    <w:rsid w:val="00E94F8A"/>
    <w:rsid w:val="00EA4B16"/>
    <w:rsid w:val="00EA7324"/>
    <w:rsid w:val="00EA7A41"/>
    <w:rsid w:val="00EB077B"/>
    <w:rsid w:val="00EB4EA2"/>
    <w:rsid w:val="00EC27C6"/>
    <w:rsid w:val="00EC4207"/>
    <w:rsid w:val="00EC5653"/>
    <w:rsid w:val="00EC71CE"/>
    <w:rsid w:val="00EC77A7"/>
    <w:rsid w:val="00ED1006"/>
    <w:rsid w:val="00EE59C8"/>
    <w:rsid w:val="00EE72CC"/>
    <w:rsid w:val="00EF18FE"/>
    <w:rsid w:val="00EF5453"/>
    <w:rsid w:val="00EF5787"/>
    <w:rsid w:val="00EF60D0"/>
    <w:rsid w:val="00F00494"/>
    <w:rsid w:val="00F0528D"/>
    <w:rsid w:val="00F06C67"/>
    <w:rsid w:val="00F06DFD"/>
    <w:rsid w:val="00F071D1"/>
    <w:rsid w:val="00F07533"/>
    <w:rsid w:val="00F10629"/>
    <w:rsid w:val="00F15FA5"/>
    <w:rsid w:val="00F209B7"/>
    <w:rsid w:val="00F2376F"/>
    <w:rsid w:val="00F243D8"/>
    <w:rsid w:val="00F25C26"/>
    <w:rsid w:val="00F30828"/>
    <w:rsid w:val="00F313D6"/>
    <w:rsid w:val="00F34647"/>
    <w:rsid w:val="00F40F0C"/>
    <w:rsid w:val="00F415B2"/>
    <w:rsid w:val="00F43403"/>
    <w:rsid w:val="00F4403E"/>
    <w:rsid w:val="00F4766C"/>
    <w:rsid w:val="00F5060E"/>
    <w:rsid w:val="00F507D1"/>
    <w:rsid w:val="00F519CE"/>
    <w:rsid w:val="00F51ADA"/>
    <w:rsid w:val="00F607C5"/>
    <w:rsid w:val="00F60DEA"/>
    <w:rsid w:val="00F6302A"/>
    <w:rsid w:val="00F64C2B"/>
    <w:rsid w:val="00F651BE"/>
    <w:rsid w:val="00F67A2D"/>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2E36"/>
    <w:rsid w:val="00FD32DA"/>
    <w:rsid w:val="00FD47ED"/>
    <w:rsid w:val="00FD74DB"/>
    <w:rsid w:val="00FD7660"/>
    <w:rsid w:val="00FE0655"/>
    <w:rsid w:val="00FE2365"/>
    <w:rsid w:val="00FE37D7"/>
    <w:rsid w:val="00FE4C7B"/>
    <w:rsid w:val="00FE7336"/>
    <w:rsid w:val="00FE787C"/>
    <w:rsid w:val="00FF3530"/>
    <w:rsid w:val="00FF45A5"/>
    <w:rsid w:val="00FF518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76D9B16D-6E70-4A03-A3D5-C66E5AB0B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D0D9B"/>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references">
    <w:name w:val="references"/>
    <w:rsid w:val="00743D20"/>
    <w:pPr>
      <w:numPr>
        <w:numId w:val="24"/>
      </w:numPr>
      <w:spacing w:after="50" w:line="180" w:lineRule="exact"/>
      <w:jc w:val="both"/>
    </w:pPr>
    <w:rPr>
      <w:rFonts w:ascii="Times New Roman" w:eastAsia="MS Mincho" w:hAnsi="Times New Roman"/>
      <w:noProof/>
      <w:sz w:val="16"/>
      <w:szCs w:val="16"/>
    </w:rPr>
  </w:style>
  <w:style w:type="character" w:styleId="Strong">
    <w:name w:val="Strong"/>
    <w:basedOn w:val="DefaultParagraphFont"/>
    <w:qFormat/>
    <w:rsid w:val="00411A71"/>
    <w:rPr>
      <w:b/>
      <w:bCs/>
    </w:rPr>
  </w:style>
  <w:style w:type="character" w:styleId="PlaceholderText">
    <w:name w:val="Placeholder Text"/>
    <w:basedOn w:val="DefaultParagraphFont"/>
    <w:uiPriority w:val="99"/>
    <w:semiHidden/>
    <w:rsid w:val="00184D61"/>
    <w:rPr>
      <w:color w:val="808080"/>
    </w:rPr>
  </w:style>
  <w:style w:type="table" w:styleId="TableGrid">
    <w:name w:val="Table Grid"/>
    <w:basedOn w:val="TableNormal"/>
    <w:uiPriority w:val="59"/>
    <w:qFormat/>
    <w:rsid w:val="00D641A0"/>
    <w:pPr>
      <w:spacing w:after="160" w:line="259"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91292">
      <w:bodyDiv w:val="1"/>
      <w:marLeft w:val="0"/>
      <w:marRight w:val="0"/>
      <w:marTop w:val="0"/>
      <w:marBottom w:val="0"/>
      <w:divBdr>
        <w:top w:val="none" w:sz="0" w:space="0" w:color="auto"/>
        <w:left w:val="none" w:sz="0" w:space="0" w:color="auto"/>
        <w:bottom w:val="none" w:sz="0" w:space="0" w:color="auto"/>
        <w:right w:val="none" w:sz="0" w:space="0" w:color="auto"/>
      </w:divBdr>
    </w:div>
    <w:div w:id="91052365">
      <w:bodyDiv w:val="1"/>
      <w:marLeft w:val="0"/>
      <w:marRight w:val="0"/>
      <w:marTop w:val="0"/>
      <w:marBottom w:val="0"/>
      <w:divBdr>
        <w:top w:val="none" w:sz="0" w:space="0" w:color="auto"/>
        <w:left w:val="none" w:sz="0" w:space="0" w:color="auto"/>
        <w:bottom w:val="none" w:sz="0" w:space="0" w:color="auto"/>
        <w:right w:val="none" w:sz="0" w:space="0" w:color="auto"/>
      </w:divBdr>
    </w:div>
    <w:div w:id="226841700">
      <w:bodyDiv w:val="1"/>
      <w:marLeft w:val="0"/>
      <w:marRight w:val="0"/>
      <w:marTop w:val="0"/>
      <w:marBottom w:val="0"/>
      <w:divBdr>
        <w:top w:val="none" w:sz="0" w:space="0" w:color="auto"/>
        <w:left w:val="none" w:sz="0" w:space="0" w:color="auto"/>
        <w:bottom w:val="none" w:sz="0" w:space="0" w:color="auto"/>
        <w:right w:val="none" w:sz="0" w:space="0" w:color="auto"/>
      </w:divBdr>
    </w:div>
    <w:div w:id="389158074">
      <w:bodyDiv w:val="1"/>
      <w:marLeft w:val="0"/>
      <w:marRight w:val="0"/>
      <w:marTop w:val="0"/>
      <w:marBottom w:val="0"/>
      <w:divBdr>
        <w:top w:val="none" w:sz="0" w:space="0" w:color="auto"/>
        <w:left w:val="none" w:sz="0" w:space="0" w:color="auto"/>
        <w:bottom w:val="none" w:sz="0" w:space="0" w:color="auto"/>
        <w:right w:val="none" w:sz="0" w:space="0" w:color="auto"/>
      </w:divBdr>
    </w:div>
    <w:div w:id="410549295">
      <w:bodyDiv w:val="1"/>
      <w:marLeft w:val="0"/>
      <w:marRight w:val="0"/>
      <w:marTop w:val="0"/>
      <w:marBottom w:val="0"/>
      <w:divBdr>
        <w:top w:val="none" w:sz="0" w:space="0" w:color="auto"/>
        <w:left w:val="none" w:sz="0" w:space="0" w:color="auto"/>
        <w:bottom w:val="none" w:sz="0" w:space="0" w:color="auto"/>
        <w:right w:val="none" w:sz="0" w:space="0" w:color="auto"/>
      </w:divBdr>
    </w:div>
    <w:div w:id="520825125">
      <w:bodyDiv w:val="1"/>
      <w:marLeft w:val="0"/>
      <w:marRight w:val="0"/>
      <w:marTop w:val="0"/>
      <w:marBottom w:val="0"/>
      <w:divBdr>
        <w:top w:val="none" w:sz="0" w:space="0" w:color="auto"/>
        <w:left w:val="none" w:sz="0" w:space="0" w:color="auto"/>
        <w:bottom w:val="none" w:sz="0" w:space="0" w:color="auto"/>
        <w:right w:val="none" w:sz="0" w:space="0" w:color="auto"/>
      </w:divBdr>
    </w:div>
    <w:div w:id="653264986">
      <w:bodyDiv w:val="1"/>
      <w:marLeft w:val="0"/>
      <w:marRight w:val="0"/>
      <w:marTop w:val="0"/>
      <w:marBottom w:val="0"/>
      <w:divBdr>
        <w:top w:val="none" w:sz="0" w:space="0" w:color="auto"/>
        <w:left w:val="none" w:sz="0" w:space="0" w:color="auto"/>
        <w:bottom w:val="none" w:sz="0" w:space="0" w:color="auto"/>
        <w:right w:val="none" w:sz="0" w:space="0" w:color="auto"/>
      </w:divBdr>
    </w:div>
    <w:div w:id="785393067">
      <w:bodyDiv w:val="1"/>
      <w:marLeft w:val="0"/>
      <w:marRight w:val="0"/>
      <w:marTop w:val="0"/>
      <w:marBottom w:val="0"/>
      <w:divBdr>
        <w:top w:val="none" w:sz="0" w:space="0" w:color="auto"/>
        <w:left w:val="none" w:sz="0" w:space="0" w:color="auto"/>
        <w:bottom w:val="none" w:sz="0" w:space="0" w:color="auto"/>
        <w:right w:val="none" w:sz="0" w:space="0" w:color="auto"/>
      </w:divBdr>
    </w:div>
    <w:div w:id="879127599">
      <w:bodyDiv w:val="1"/>
      <w:marLeft w:val="0"/>
      <w:marRight w:val="0"/>
      <w:marTop w:val="0"/>
      <w:marBottom w:val="0"/>
      <w:divBdr>
        <w:top w:val="none" w:sz="0" w:space="0" w:color="auto"/>
        <w:left w:val="none" w:sz="0" w:space="0" w:color="auto"/>
        <w:bottom w:val="none" w:sz="0" w:space="0" w:color="auto"/>
        <w:right w:val="none" w:sz="0" w:space="0" w:color="auto"/>
      </w:divBdr>
    </w:div>
    <w:div w:id="908343245">
      <w:bodyDiv w:val="1"/>
      <w:marLeft w:val="0"/>
      <w:marRight w:val="0"/>
      <w:marTop w:val="0"/>
      <w:marBottom w:val="0"/>
      <w:divBdr>
        <w:top w:val="none" w:sz="0" w:space="0" w:color="auto"/>
        <w:left w:val="none" w:sz="0" w:space="0" w:color="auto"/>
        <w:bottom w:val="none" w:sz="0" w:space="0" w:color="auto"/>
        <w:right w:val="none" w:sz="0" w:space="0" w:color="auto"/>
      </w:divBdr>
    </w:div>
    <w:div w:id="1146437237">
      <w:bodyDiv w:val="1"/>
      <w:marLeft w:val="0"/>
      <w:marRight w:val="0"/>
      <w:marTop w:val="0"/>
      <w:marBottom w:val="0"/>
      <w:divBdr>
        <w:top w:val="none" w:sz="0" w:space="0" w:color="auto"/>
        <w:left w:val="none" w:sz="0" w:space="0" w:color="auto"/>
        <w:bottom w:val="none" w:sz="0" w:space="0" w:color="auto"/>
        <w:right w:val="none" w:sz="0" w:space="0" w:color="auto"/>
      </w:divBdr>
    </w:div>
    <w:div w:id="1213425061">
      <w:bodyDiv w:val="1"/>
      <w:marLeft w:val="0"/>
      <w:marRight w:val="0"/>
      <w:marTop w:val="0"/>
      <w:marBottom w:val="0"/>
      <w:divBdr>
        <w:top w:val="none" w:sz="0" w:space="0" w:color="auto"/>
        <w:left w:val="none" w:sz="0" w:space="0" w:color="auto"/>
        <w:bottom w:val="none" w:sz="0" w:space="0" w:color="auto"/>
        <w:right w:val="none" w:sz="0" w:space="0" w:color="auto"/>
      </w:divBdr>
    </w:div>
    <w:div w:id="1241985359">
      <w:bodyDiv w:val="1"/>
      <w:marLeft w:val="0"/>
      <w:marRight w:val="0"/>
      <w:marTop w:val="0"/>
      <w:marBottom w:val="0"/>
      <w:divBdr>
        <w:top w:val="none" w:sz="0" w:space="0" w:color="auto"/>
        <w:left w:val="none" w:sz="0" w:space="0" w:color="auto"/>
        <w:bottom w:val="none" w:sz="0" w:space="0" w:color="auto"/>
        <w:right w:val="none" w:sz="0" w:space="0" w:color="auto"/>
      </w:divBdr>
    </w:div>
    <w:div w:id="1400059928">
      <w:bodyDiv w:val="1"/>
      <w:marLeft w:val="0"/>
      <w:marRight w:val="0"/>
      <w:marTop w:val="0"/>
      <w:marBottom w:val="0"/>
      <w:divBdr>
        <w:top w:val="none" w:sz="0" w:space="0" w:color="auto"/>
        <w:left w:val="none" w:sz="0" w:space="0" w:color="auto"/>
        <w:bottom w:val="none" w:sz="0" w:space="0" w:color="auto"/>
        <w:right w:val="none" w:sz="0" w:space="0" w:color="auto"/>
      </w:divBdr>
    </w:div>
    <w:div w:id="1414544005">
      <w:bodyDiv w:val="1"/>
      <w:marLeft w:val="0"/>
      <w:marRight w:val="0"/>
      <w:marTop w:val="0"/>
      <w:marBottom w:val="0"/>
      <w:divBdr>
        <w:top w:val="none" w:sz="0" w:space="0" w:color="auto"/>
        <w:left w:val="none" w:sz="0" w:space="0" w:color="auto"/>
        <w:bottom w:val="none" w:sz="0" w:space="0" w:color="auto"/>
        <w:right w:val="none" w:sz="0" w:space="0" w:color="auto"/>
      </w:divBdr>
    </w:div>
    <w:div w:id="1423186510">
      <w:bodyDiv w:val="1"/>
      <w:marLeft w:val="0"/>
      <w:marRight w:val="0"/>
      <w:marTop w:val="0"/>
      <w:marBottom w:val="0"/>
      <w:divBdr>
        <w:top w:val="none" w:sz="0" w:space="0" w:color="auto"/>
        <w:left w:val="none" w:sz="0" w:space="0" w:color="auto"/>
        <w:bottom w:val="none" w:sz="0" w:space="0" w:color="auto"/>
        <w:right w:val="none" w:sz="0" w:space="0" w:color="auto"/>
      </w:divBdr>
    </w:div>
    <w:div w:id="1539852507">
      <w:bodyDiv w:val="1"/>
      <w:marLeft w:val="0"/>
      <w:marRight w:val="0"/>
      <w:marTop w:val="0"/>
      <w:marBottom w:val="0"/>
      <w:divBdr>
        <w:top w:val="none" w:sz="0" w:space="0" w:color="auto"/>
        <w:left w:val="none" w:sz="0" w:space="0" w:color="auto"/>
        <w:bottom w:val="none" w:sz="0" w:space="0" w:color="auto"/>
        <w:right w:val="none" w:sz="0" w:space="0" w:color="auto"/>
      </w:divBdr>
    </w:div>
    <w:div w:id="1656179250">
      <w:bodyDiv w:val="1"/>
      <w:marLeft w:val="0"/>
      <w:marRight w:val="0"/>
      <w:marTop w:val="0"/>
      <w:marBottom w:val="0"/>
      <w:divBdr>
        <w:top w:val="none" w:sz="0" w:space="0" w:color="auto"/>
        <w:left w:val="none" w:sz="0" w:space="0" w:color="auto"/>
        <w:bottom w:val="none" w:sz="0" w:space="0" w:color="auto"/>
        <w:right w:val="none" w:sz="0" w:space="0" w:color="auto"/>
      </w:divBdr>
    </w:div>
    <w:div w:id="1712925379">
      <w:bodyDiv w:val="1"/>
      <w:marLeft w:val="0"/>
      <w:marRight w:val="0"/>
      <w:marTop w:val="0"/>
      <w:marBottom w:val="0"/>
      <w:divBdr>
        <w:top w:val="none" w:sz="0" w:space="0" w:color="auto"/>
        <w:left w:val="none" w:sz="0" w:space="0" w:color="auto"/>
        <w:bottom w:val="none" w:sz="0" w:space="0" w:color="auto"/>
        <w:right w:val="none" w:sz="0" w:space="0" w:color="auto"/>
      </w:divBdr>
    </w:div>
    <w:div w:id="1795903913">
      <w:bodyDiv w:val="1"/>
      <w:marLeft w:val="0"/>
      <w:marRight w:val="0"/>
      <w:marTop w:val="0"/>
      <w:marBottom w:val="0"/>
      <w:divBdr>
        <w:top w:val="none" w:sz="0" w:space="0" w:color="auto"/>
        <w:left w:val="none" w:sz="0" w:space="0" w:color="auto"/>
        <w:bottom w:val="none" w:sz="0" w:space="0" w:color="auto"/>
        <w:right w:val="none" w:sz="0" w:space="0" w:color="auto"/>
      </w:divBdr>
    </w:div>
    <w:div w:id="2067758239">
      <w:bodyDiv w:val="1"/>
      <w:marLeft w:val="0"/>
      <w:marRight w:val="0"/>
      <w:marTop w:val="0"/>
      <w:marBottom w:val="0"/>
      <w:divBdr>
        <w:top w:val="none" w:sz="0" w:space="0" w:color="auto"/>
        <w:left w:val="none" w:sz="0" w:space="0" w:color="auto"/>
        <w:bottom w:val="none" w:sz="0" w:space="0" w:color="auto"/>
        <w:right w:val="none" w:sz="0" w:space="0" w:color="auto"/>
      </w:divBdr>
    </w:div>
    <w:div w:id="210333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image" Target="media/image9.wmf"/><Relationship Id="rId27" Type="http://schemas.openxmlformats.org/officeDocument/2006/relationships/header" Target="head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268DE627-899A-455D-A985-05AA53069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15</Pages>
  <Words>5238</Words>
  <Characters>27764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Mattias Frenne</cp:lastModifiedBy>
  <cp:revision>2</cp:revision>
  <cp:lastPrinted>2008-01-31T15:09:00Z</cp:lastPrinted>
  <dcterms:created xsi:type="dcterms:W3CDTF">2017-11-17T20:16:00Z</dcterms:created>
  <dcterms:modified xsi:type="dcterms:W3CDTF">2017-11-17T20:16:00Z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